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4DFE" w14:textId="77777777" w:rsidR="00516EC2" w:rsidRDefault="00516EC2">
      <w:pPr>
        <w:pStyle w:val="BodyText"/>
        <w:rPr>
          <w:sz w:val="20"/>
        </w:rPr>
      </w:pPr>
      <w:bookmarkStart w:id="0" w:name="_GoBack"/>
      <w:bookmarkEnd w:id="0"/>
    </w:p>
    <w:p w14:paraId="6D5BE0A3" w14:textId="77777777" w:rsidR="00516EC2" w:rsidRDefault="00516EC2">
      <w:pPr>
        <w:pStyle w:val="BodyText"/>
        <w:spacing w:before="8"/>
        <w:rPr>
          <w:sz w:val="24"/>
        </w:rPr>
      </w:pPr>
    </w:p>
    <w:p w14:paraId="78C5C579" w14:textId="77777777" w:rsidR="00516EC2" w:rsidRDefault="00FC2B69" w:rsidP="00F90B1C">
      <w:pPr>
        <w:pStyle w:val="Heading1"/>
        <w:shd w:val="clear" w:color="auto" w:fill="D9D9D9" w:themeFill="background1" w:themeFillShade="D9"/>
        <w:tabs>
          <w:tab w:val="left" w:pos="1758"/>
          <w:tab w:val="left" w:pos="9239"/>
        </w:tabs>
        <w:spacing w:before="92"/>
        <w:ind w:left="107"/>
      </w:pPr>
      <w:r>
        <w:tab/>
      </w:r>
      <w:r>
        <w:rPr>
          <w:color w:val="000000"/>
          <w:shd w:val="clear" w:color="auto" w:fill="D9D9D9"/>
        </w:rPr>
        <w:t>Europski centar za sprečavanje i kontrolu bolesti (ECDC)</w:t>
      </w:r>
      <w:r>
        <w:tab/>
      </w:r>
    </w:p>
    <w:p w14:paraId="5635A153" w14:textId="77777777" w:rsidR="00516EC2" w:rsidRDefault="00516EC2">
      <w:pPr>
        <w:pStyle w:val="BodyText"/>
        <w:spacing w:before="7"/>
        <w:rPr>
          <w:b/>
          <w:sz w:val="20"/>
        </w:rPr>
      </w:pPr>
    </w:p>
    <w:p w14:paraId="627ADC6B" w14:textId="7004237D" w:rsidR="00516EC2" w:rsidRDefault="00FC2B69">
      <w:pPr>
        <w:pStyle w:val="BodyText"/>
        <w:spacing w:line="465" w:lineRule="auto"/>
        <w:ind w:left="3110" w:right="1017" w:hanging="389"/>
      </w:pPr>
      <w:r>
        <w:t>Objava slobodnog radnog mjesta direktora u Stockholmu (privremeni djelatnik – razred AD 14)</w:t>
      </w:r>
    </w:p>
    <w:p w14:paraId="48A5288D" w14:textId="750D5C29" w:rsidR="00516EC2" w:rsidRDefault="00FC2B69">
      <w:pPr>
        <w:pStyle w:val="BodyText"/>
        <w:spacing w:before="92"/>
        <w:ind w:left="2712" w:right="2712"/>
        <w:jc w:val="center"/>
      </w:pPr>
      <w:r>
        <w:t>COM/2023/20093</w:t>
      </w:r>
    </w:p>
    <w:p w14:paraId="031191C0" w14:textId="77777777" w:rsidR="00516EC2" w:rsidRDefault="00516EC2">
      <w:pPr>
        <w:pStyle w:val="BodyText"/>
        <w:rPr>
          <w:sz w:val="24"/>
        </w:rPr>
      </w:pPr>
    </w:p>
    <w:p w14:paraId="54113523" w14:textId="77777777" w:rsidR="00516EC2" w:rsidRDefault="00516EC2">
      <w:pPr>
        <w:pStyle w:val="BodyText"/>
        <w:rPr>
          <w:sz w:val="24"/>
        </w:rPr>
      </w:pPr>
    </w:p>
    <w:p w14:paraId="33305702" w14:textId="77777777" w:rsidR="00516EC2" w:rsidRDefault="00FC2B69">
      <w:pPr>
        <w:pStyle w:val="Heading1"/>
        <w:spacing w:before="186"/>
        <w:jc w:val="both"/>
      </w:pPr>
      <w:r>
        <w:t>O nama</w:t>
      </w:r>
    </w:p>
    <w:p w14:paraId="6086C9A8" w14:textId="77777777" w:rsidR="00516EC2" w:rsidRDefault="00516EC2">
      <w:pPr>
        <w:pStyle w:val="BodyText"/>
        <w:spacing w:before="5"/>
        <w:rPr>
          <w:b/>
          <w:sz w:val="20"/>
        </w:rPr>
      </w:pPr>
    </w:p>
    <w:p w14:paraId="2DF31B62" w14:textId="725AB470" w:rsidR="00516EC2" w:rsidRDefault="00FC2B69">
      <w:pPr>
        <w:ind w:left="136" w:right="137"/>
        <w:jc w:val="both"/>
      </w:pPr>
      <w:r>
        <w:rPr>
          <w:b/>
        </w:rPr>
        <w:t>Europski centar za sprečavanje i kontrolu bolesti (ECDC)</w:t>
      </w:r>
      <w:r>
        <w:t xml:space="preserve"> neovisna je agencija EU-a osnovana Uredbom (EZ) br. 2022/2370 Europskog parlamenta i Vijeća</w:t>
      </w:r>
      <w:r>
        <w:rPr>
          <w:rStyle w:val="FootnoteReference"/>
        </w:rPr>
        <w:footnoteReference w:id="1"/>
      </w:r>
      <w:r>
        <w:t>.</w:t>
      </w:r>
    </w:p>
    <w:p w14:paraId="626E40E9" w14:textId="77777777" w:rsidR="00516EC2" w:rsidRDefault="00516EC2">
      <w:pPr>
        <w:pStyle w:val="BodyText"/>
        <w:spacing w:before="9"/>
        <w:rPr>
          <w:sz w:val="20"/>
        </w:rPr>
      </w:pPr>
    </w:p>
    <w:p w14:paraId="3ABD2155" w14:textId="16B199C6" w:rsidR="00516EC2" w:rsidRDefault="00FC2B69">
      <w:pPr>
        <w:pStyle w:val="BodyText"/>
        <w:ind w:left="136"/>
        <w:jc w:val="both"/>
      </w:pPr>
      <w:r>
        <w:t>Cilj je ECDC-a ojačati europsku obranu od zaraznih bolesti.</w:t>
      </w:r>
    </w:p>
    <w:p w14:paraId="04B488EF" w14:textId="77777777" w:rsidR="00516EC2" w:rsidRDefault="00516EC2">
      <w:pPr>
        <w:pStyle w:val="BodyText"/>
        <w:rPr>
          <w:sz w:val="21"/>
        </w:rPr>
      </w:pPr>
    </w:p>
    <w:p w14:paraId="1CF5DE24" w14:textId="13130816" w:rsidR="00516EC2" w:rsidRDefault="00FC2B69">
      <w:pPr>
        <w:pStyle w:val="BodyText"/>
        <w:ind w:left="136" w:right="139"/>
        <w:jc w:val="both"/>
      </w:pPr>
      <w:r>
        <w:t>Zadaća je ECDC-a utvrditi i procijeniti postojeće i nove prijetnje koje zarazne bolesti, posebni zdravstveni problemi i izbijanja bolesti nepoznatog podrijetla predstavljaju za ljudsko zdravlje te o tome informirati javnost.</w:t>
      </w:r>
    </w:p>
    <w:p w14:paraId="1F57D017" w14:textId="77777777" w:rsidR="00516EC2" w:rsidRDefault="00516EC2">
      <w:pPr>
        <w:pStyle w:val="BodyText"/>
        <w:spacing w:before="11"/>
        <w:rPr>
          <w:sz w:val="20"/>
        </w:rPr>
      </w:pPr>
    </w:p>
    <w:p w14:paraId="06D6C100" w14:textId="05B30BC5" w:rsidR="00516EC2" w:rsidRDefault="00FC2B69">
      <w:pPr>
        <w:pStyle w:val="BodyText"/>
        <w:ind w:left="136" w:right="134"/>
        <w:jc w:val="both"/>
      </w:pPr>
      <w:r>
        <w:t>Da bi ostvario tu zadaću i da bi ojačao i razvio europski sustav nadzora bolesti i ranog upozoravanja, ECDC surađuje s Europskom komisijom i nacionalnim tijelima za zaštitu zdravlja iz cijele Europe. U suradnji sa stručnjacima iz cijele Europe ECDC objedinjuje europsko znanje o zdravlju i razvija mjerodavna, čvrsta i neovisna znanstvena mišljenja o rizicima koje predstavljaju postojeće i nove zarazne bolesti, posebni zdravstveni problemi i izbijanja bolesti nepoznatog podrijetla.</w:t>
      </w:r>
    </w:p>
    <w:p w14:paraId="77B6CAC7" w14:textId="77777777" w:rsidR="00516EC2" w:rsidRDefault="00516EC2">
      <w:pPr>
        <w:pStyle w:val="BodyText"/>
        <w:spacing w:before="9"/>
        <w:rPr>
          <w:sz w:val="20"/>
        </w:rPr>
      </w:pPr>
    </w:p>
    <w:p w14:paraId="3A8E33D2" w14:textId="77777777" w:rsidR="00516EC2" w:rsidRDefault="00FC2B69">
      <w:pPr>
        <w:pStyle w:val="BodyText"/>
        <w:ind w:left="136"/>
        <w:jc w:val="both"/>
      </w:pPr>
      <w:r>
        <w:t>U području relevantnom za svoju zadaću ECDC:</w:t>
      </w:r>
    </w:p>
    <w:p w14:paraId="7C66DF1E" w14:textId="77777777" w:rsidR="00516EC2" w:rsidRDefault="00516EC2">
      <w:pPr>
        <w:pStyle w:val="BodyText"/>
        <w:rPr>
          <w:sz w:val="21"/>
        </w:rPr>
      </w:pPr>
    </w:p>
    <w:p w14:paraId="118A8E51" w14:textId="77777777" w:rsidR="00516EC2" w:rsidRDefault="00FC2B69">
      <w:pPr>
        <w:pStyle w:val="ListParagraph"/>
        <w:numPr>
          <w:ilvl w:val="0"/>
          <w:numId w:val="4"/>
        </w:numPr>
        <w:tabs>
          <w:tab w:val="left" w:pos="857"/>
        </w:tabs>
        <w:spacing w:line="252" w:lineRule="exact"/>
        <w:ind w:hanging="361"/>
      </w:pPr>
      <w:r>
        <w:t>traži, prikuplja, sređuje, procjenjuje i širi relevantne znanstvene i tehničke podatke;</w:t>
      </w:r>
    </w:p>
    <w:p w14:paraId="0B827C31" w14:textId="77777777" w:rsidR="00516EC2" w:rsidRDefault="00FC2B69">
      <w:pPr>
        <w:pStyle w:val="ListParagraph"/>
        <w:numPr>
          <w:ilvl w:val="0"/>
          <w:numId w:val="4"/>
        </w:numPr>
        <w:tabs>
          <w:tab w:val="left" w:pos="857"/>
        </w:tabs>
        <w:spacing w:line="252" w:lineRule="exact"/>
        <w:ind w:hanging="361"/>
      </w:pPr>
      <w:r>
        <w:t>pruža znanstvena mišljenja, znanstvenu i tehničku pomoć, uključujući osposobljavanje;</w:t>
      </w:r>
    </w:p>
    <w:p w14:paraId="27E31136" w14:textId="4199C068" w:rsidR="00516EC2" w:rsidRDefault="00FC2B69">
      <w:pPr>
        <w:pStyle w:val="ListParagraph"/>
        <w:numPr>
          <w:ilvl w:val="0"/>
          <w:numId w:val="4"/>
        </w:numPr>
        <w:tabs>
          <w:tab w:val="left" w:pos="857"/>
        </w:tabs>
        <w:spacing w:before="1"/>
        <w:ind w:right="140"/>
      </w:pPr>
      <w:r>
        <w:t>na vrijeme informira Komisiju, države članice, agencije Zajednice i međunarodne organizacije koje djeluju u području javnog zdravlja;</w:t>
      </w:r>
    </w:p>
    <w:p w14:paraId="4D17FAF1" w14:textId="77777777" w:rsidR="00516EC2" w:rsidRDefault="00FC2B69">
      <w:pPr>
        <w:pStyle w:val="ListParagraph"/>
        <w:numPr>
          <w:ilvl w:val="0"/>
          <w:numId w:val="4"/>
        </w:numPr>
        <w:tabs>
          <w:tab w:val="left" w:pos="857"/>
        </w:tabs>
        <w:ind w:right="140"/>
      </w:pPr>
      <w:r>
        <w:t>koordinira Europsku mrežu tijela koja djeluju u područjima obuhvaćenima zadaćama Centra, uključujući mreže koje su se razvile iz javnozdravstvenih aktivnosti kojima Komisija pruža potporu, te upravlja namjenskim nadzornim mrežama,</w:t>
      </w:r>
    </w:p>
    <w:p w14:paraId="2C02BD7A" w14:textId="77777777" w:rsidR="00516EC2" w:rsidRDefault="00FC2B69">
      <w:pPr>
        <w:pStyle w:val="ListParagraph"/>
        <w:numPr>
          <w:ilvl w:val="0"/>
          <w:numId w:val="4"/>
        </w:numPr>
        <w:tabs>
          <w:tab w:val="left" w:pos="857"/>
        </w:tabs>
        <w:ind w:right="137"/>
      </w:pPr>
      <w:r>
        <w:t>razmjenjuje informacije, stručna znanja i primjere dobre prakse te olakšava razvoj i provedbu zajedničkih aktivnosti.</w:t>
      </w:r>
    </w:p>
    <w:p w14:paraId="002BC791" w14:textId="7B678848" w:rsidR="00516EC2" w:rsidRDefault="00516EC2">
      <w:pPr>
        <w:pStyle w:val="BodyText"/>
        <w:spacing w:before="9"/>
        <w:rPr>
          <w:sz w:val="20"/>
        </w:rPr>
      </w:pPr>
    </w:p>
    <w:p w14:paraId="4DE42C07" w14:textId="1FF18B7A" w:rsidR="00513B8D" w:rsidRPr="00513B8D" w:rsidRDefault="00513B8D">
      <w:pPr>
        <w:pStyle w:val="BodyText"/>
        <w:spacing w:before="9"/>
      </w:pPr>
      <w:r>
        <w:t xml:space="preserve">Opis misije i zadaća ECDC-a nalazi se u Uredbi o osnivanju centra. Dodatne informacije dostupne su na ECDC-ovu portalu: </w:t>
      </w:r>
      <w:hyperlink r:id="rId8" w:history="1">
        <w:r>
          <w:rPr>
            <w:rStyle w:val="Hyperlink"/>
          </w:rPr>
          <w:t>https://www.ecdc.europa.eu/en</w:t>
        </w:r>
      </w:hyperlink>
      <w:r>
        <w:t xml:space="preserve">. </w:t>
      </w:r>
    </w:p>
    <w:p w14:paraId="0F70F4AF" w14:textId="77777777" w:rsidR="00513B8D" w:rsidRDefault="00513B8D">
      <w:pPr>
        <w:pStyle w:val="BodyText"/>
        <w:spacing w:before="9"/>
        <w:rPr>
          <w:sz w:val="20"/>
        </w:rPr>
      </w:pPr>
    </w:p>
    <w:p w14:paraId="4E3C400E" w14:textId="77777777" w:rsidR="00516EC2" w:rsidRDefault="00516EC2">
      <w:pPr>
        <w:pStyle w:val="BodyText"/>
        <w:spacing w:before="4"/>
        <w:rPr>
          <w:sz w:val="23"/>
        </w:rPr>
      </w:pPr>
    </w:p>
    <w:p w14:paraId="78722FA0" w14:textId="77777777" w:rsidR="00516EC2" w:rsidRDefault="00FC2B69">
      <w:pPr>
        <w:pStyle w:val="Heading1"/>
      </w:pPr>
      <w:r>
        <w:t>Opis radnog mjesta</w:t>
      </w:r>
    </w:p>
    <w:p w14:paraId="4F9A10EC" w14:textId="77777777" w:rsidR="00516EC2" w:rsidRDefault="00516EC2">
      <w:pPr>
        <w:pStyle w:val="BodyText"/>
        <w:spacing w:before="4"/>
        <w:rPr>
          <w:b/>
          <w:sz w:val="20"/>
        </w:rPr>
      </w:pPr>
    </w:p>
    <w:p w14:paraId="64881B0E" w14:textId="77777777" w:rsidR="00516EC2" w:rsidRDefault="00FC2B69">
      <w:pPr>
        <w:pStyle w:val="BodyText"/>
        <w:ind w:left="136"/>
      </w:pPr>
      <w:r>
        <w:t>Funkcija direktora ECDC-a.</w:t>
      </w:r>
    </w:p>
    <w:p w14:paraId="5482C273" w14:textId="77777777" w:rsidR="00516EC2" w:rsidRDefault="00516EC2">
      <w:pPr>
        <w:pStyle w:val="BodyText"/>
        <w:spacing w:before="9"/>
        <w:rPr>
          <w:sz w:val="20"/>
        </w:rPr>
      </w:pPr>
    </w:p>
    <w:p w14:paraId="376A91DD" w14:textId="77777777" w:rsidR="00516EC2" w:rsidRDefault="00FC2B69">
      <w:pPr>
        <w:pStyle w:val="BodyText"/>
        <w:spacing w:before="1"/>
        <w:ind w:left="136"/>
      </w:pPr>
      <w:r>
        <w:t>Direktor je pravni zastupnik i predstavlja ECDC u javnosti te je odgovoran njegovu Upravnom odboru. Vodit će ECDC i upravljati njime te u cijelosti preuzeti odgovornost za</w:t>
      </w:r>
    </w:p>
    <w:p w14:paraId="23DAC979" w14:textId="77777777" w:rsidR="00516EC2" w:rsidRDefault="00FC2B69">
      <w:pPr>
        <w:pStyle w:val="BodyText"/>
        <w:spacing w:before="71"/>
        <w:ind w:left="136" w:right="133"/>
      </w:pPr>
      <w:r>
        <w:t>operacije kojima se jamči postizanje ciljeva ECDC-a. ECDC je 2023. imao ukupno 370 zaposlenika te proračun od otprilike 86 milijuna EUR.</w:t>
      </w:r>
    </w:p>
    <w:p w14:paraId="1B6FF350" w14:textId="77777777" w:rsidR="00516EC2" w:rsidRDefault="00516EC2">
      <w:pPr>
        <w:pStyle w:val="BodyText"/>
        <w:spacing w:before="11"/>
        <w:rPr>
          <w:sz w:val="20"/>
        </w:rPr>
      </w:pPr>
    </w:p>
    <w:p w14:paraId="30D5FB10" w14:textId="77777777" w:rsidR="00516EC2" w:rsidRDefault="00FC2B69">
      <w:pPr>
        <w:pStyle w:val="BodyText"/>
        <w:ind w:left="136"/>
      </w:pPr>
      <w:r>
        <w:lastRenderedPageBreak/>
        <w:t>Dužnosti direktora obuhvaćaju:</w:t>
      </w:r>
    </w:p>
    <w:p w14:paraId="1C0D54BB" w14:textId="77777777" w:rsidR="00516EC2" w:rsidRDefault="00516EC2">
      <w:pPr>
        <w:pStyle w:val="BodyText"/>
        <w:spacing w:before="1"/>
        <w:rPr>
          <w:sz w:val="21"/>
        </w:rPr>
      </w:pPr>
    </w:p>
    <w:p w14:paraId="46783B16" w14:textId="77777777" w:rsidR="00516EC2" w:rsidRDefault="00FC2B69">
      <w:pPr>
        <w:pStyle w:val="ListParagraph"/>
        <w:numPr>
          <w:ilvl w:val="0"/>
          <w:numId w:val="3"/>
        </w:numPr>
        <w:tabs>
          <w:tab w:val="left" w:pos="497"/>
        </w:tabs>
        <w:ind w:right="137"/>
      </w:pPr>
      <w:r>
        <w:t>svakodnevno upravljanje ECDC-om u skladu s relevantnim aktualnim propisima i odlukama njegova upravnog odbora,</w:t>
      </w:r>
    </w:p>
    <w:p w14:paraId="0D7F9AD4" w14:textId="77777777" w:rsidR="00516EC2" w:rsidRDefault="00FC2B69">
      <w:pPr>
        <w:pStyle w:val="ListParagraph"/>
        <w:numPr>
          <w:ilvl w:val="0"/>
          <w:numId w:val="3"/>
        </w:numPr>
        <w:tabs>
          <w:tab w:val="left" w:pos="497"/>
        </w:tabs>
        <w:ind w:right="132"/>
      </w:pPr>
      <w:r>
        <w:t>upravljanje osobljem ECDC-a, poticanje timskog duha i dobre radne atmosfere,</w:t>
      </w:r>
    </w:p>
    <w:p w14:paraId="736376B4" w14:textId="77777777" w:rsidR="00516EC2" w:rsidRDefault="00FC2B69">
      <w:pPr>
        <w:pStyle w:val="ListParagraph"/>
        <w:numPr>
          <w:ilvl w:val="0"/>
          <w:numId w:val="3"/>
        </w:numPr>
        <w:tabs>
          <w:tab w:val="left" w:pos="497"/>
        </w:tabs>
        <w:ind w:right="133"/>
      </w:pPr>
      <w:r>
        <w:t>sastavljanje prijedloga strategije i programa rada ECDC-a uz savjetovanje s Komisijom i izvješćivanje upravnog odbora o njihovoj provedbi,</w:t>
      </w:r>
    </w:p>
    <w:p w14:paraId="49CDC05D" w14:textId="77777777" w:rsidR="00516EC2" w:rsidRDefault="00FC2B69">
      <w:pPr>
        <w:pStyle w:val="ListParagraph"/>
        <w:numPr>
          <w:ilvl w:val="0"/>
          <w:numId w:val="3"/>
        </w:numPr>
        <w:tabs>
          <w:tab w:val="left" w:pos="497"/>
        </w:tabs>
        <w:ind w:right="133"/>
      </w:pPr>
      <w:r>
        <w:t>obvezu da ECDC obavlja svoje zadaće u skladu s pravnim zahtjevima i da na sve zahtjeve ECDC-ovih korisnika odgovara uslugama prikladne razine i u skladu s predviđenim rokovima,</w:t>
      </w:r>
    </w:p>
    <w:p w14:paraId="75599C0E" w14:textId="77777777" w:rsidR="00516EC2" w:rsidRDefault="00FC2B69">
      <w:pPr>
        <w:pStyle w:val="ListParagraph"/>
        <w:numPr>
          <w:ilvl w:val="0"/>
          <w:numId w:val="3"/>
        </w:numPr>
        <w:tabs>
          <w:tab w:val="left" w:pos="497"/>
        </w:tabs>
        <w:ind w:right="131"/>
      </w:pPr>
      <w:r>
        <w:t>odgovornost za cjelokupno obavljanje poslova povjerenih ECDC-u, što uključuje i nadzor kvalitete unutarnjih sustava kontrole i upravljanja,</w:t>
      </w:r>
    </w:p>
    <w:p w14:paraId="09C4B0FC" w14:textId="77777777" w:rsidR="00516EC2" w:rsidRDefault="00FC2B69">
      <w:pPr>
        <w:pStyle w:val="ListParagraph"/>
        <w:numPr>
          <w:ilvl w:val="0"/>
          <w:numId w:val="3"/>
        </w:numPr>
        <w:tabs>
          <w:tab w:val="left" w:pos="497"/>
        </w:tabs>
        <w:ind w:right="138"/>
      </w:pPr>
      <w:r>
        <w:t>pripremu i izvršenje proračuna ECDC-a te brigu za učinkovito upravljanje u skladu s načelima dobrog financijskog upravljanja,</w:t>
      </w:r>
    </w:p>
    <w:p w14:paraId="59C67C9A" w14:textId="77777777" w:rsidR="00516EC2" w:rsidRDefault="00FC2B69">
      <w:pPr>
        <w:pStyle w:val="ListParagraph"/>
        <w:numPr>
          <w:ilvl w:val="0"/>
          <w:numId w:val="3"/>
        </w:numPr>
        <w:tabs>
          <w:tab w:val="left" w:pos="497"/>
        </w:tabs>
        <w:ind w:right="134"/>
      </w:pPr>
      <w:r>
        <w:t>odgovornost za financijska pitanja ECDC-a, što uključuje, među ostalim, završne financijske izvještaje i financijske odluke,</w:t>
      </w:r>
    </w:p>
    <w:p w14:paraId="2EA6FD9B" w14:textId="77777777" w:rsidR="00516EC2" w:rsidRDefault="00FC2B69">
      <w:pPr>
        <w:pStyle w:val="ListParagraph"/>
        <w:numPr>
          <w:ilvl w:val="0"/>
          <w:numId w:val="3"/>
        </w:numPr>
        <w:tabs>
          <w:tab w:val="left" w:pos="497"/>
        </w:tabs>
        <w:ind w:right="137"/>
      </w:pPr>
      <w:r>
        <w:t>zastupanje ECDC-a i suradnju s nizom dionika i javnosti u vezi sa svim pitanjima u okviru njegove misije,</w:t>
      </w:r>
    </w:p>
    <w:p w14:paraId="575BFF18" w14:textId="77777777" w:rsidR="00516EC2" w:rsidRDefault="00FC2B69">
      <w:pPr>
        <w:pStyle w:val="ListParagraph"/>
        <w:numPr>
          <w:ilvl w:val="0"/>
          <w:numId w:val="3"/>
        </w:numPr>
        <w:tabs>
          <w:tab w:val="left" w:pos="497"/>
        </w:tabs>
        <w:ind w:right="130"/>
      </w:pPr>
      <w:r>
        <w:t>osiguravanje suradnje između ECDC-a, Komisije, Europskog parlamenta, agencija EU-a, država članica te relevantnih aktera na međunarodnoj razini,</w:t>
      </w:r>
    </w:p>
    <w:p w14:paraId="7F56291C" w14:textId="47DEE4EC" w:rsidR="00516EC2" w:rsidRDefault="00FC2B69">
      <w:pPr>
        <w:pStyle w:val="ListParagraph"/>
        <w:numPr>
          <w:ilvl w:val="0"/>
          <w:numId w:val="3"/>
        </w:numPr>
        <w:tabs>
          <w:tab w:val="left" w:pos="497"/>
        </w:tabs>
        <w:ind w:right="135"/>
      </w:pPr>
      <w:r>
        <w:t>koordiniranje Europske mreže tijela koja djeluju u područjima obuhvaćenima zadaćama Centra, uključujući mreže koje su se razvile iz javnozdravstvenih aktivnosti kojima Komisija pruža potporu, te upravlja namjenskim nadzornim mrežama,</w:t>
      </w:r>
    </w:p>
    <w:p w14:paraId="27741EDE" w14:textId="77777777" w:rsidR="00516EC2" w:rsidRDefault="00516EC2">
      <w:pPr>
        <w:pStyle w:val="BodyText"/>
        <w:rPr>
          <w:sz w:val="20"/>
        </w:rPr>
      </w:pPr>
    </w:p>
    <w:p w14:paraId="2CD102B1" w14:textId="77777777" w:rsidR="00516EC2" w:rsidRDefault="00FC2B69">
      <w:pPr>
        <w:pStyle w:val="BodyText"/>
        <w:spacing w:before="1"/>
        <w:ind w:left="136"/>
      </w:pPr>
      <w:r>
        <w:t>Potpuni opis dužnosti ravnatelja naveden je u članku 16. Uredbe o osnivanju ECDC-a.</w:t>
      </w:r>
    </w:p>
    <w:p w14:paraId="6961042F" w14:textId="77777777" w:rsidR="00516EC2" w:rsidRDefault="00516EC2">
      <w:pPr>
        <w:pStyle w:val="BodyText"/>
        <w:rPr>
          <w:sz w:val="24"/>
        </w:rPr>
      </w:pPr>
    </w:p>
    <w:p w14:paraId="49EA6EA4" w14:textId="77777777" w:rsidR="00516EC2" w:rsidRDefault="00516EC2">
      <w:pPr>
        <w:pStyle w:val="BodyText"/>
        <w:rPr>
          <w:sz w:val="24"/>
        </w:rPr>
      </w:pPr>
    </w:p>
    <w:p w14:paraId="41A3752D" w14:textId="77777777" w:rsidR="00516EC2" w:rsidRDefault="00FC2B69">
      <w:pPr>
        <w:pStyle w:val="Heading1"/>
        <w:spacing w:before="187"/>
      </w:pPr>
      <w:r>
        <w:t>Traženi profil (kriteriji za odabir)</w:t>
      </w:r>
    </w:p>
    <w:p w14:paraId="36D312E5" w14:textId="77777777" w:rsidR="00516EC2" w:rsidRDefault="00516EC2">
      <w:pPr>
        <w:pStyle w:val="BodyText"/>
        <w:spacing w:before="4"/>
        <w:rPr>
          <w:b/>
          <w:sz w:val="20"/>
        </w:rPr>
      </w:pPr>
    </w:p>
    <w:p w14:paraId="5A88A2F9" w14:textId="77777777" w:rsidR="00516EC2" w:rsidRDefault="00FC2B69">
      <w:pPr>
        <w:pStyle w:val="BodyText"/>
        <w:spacing w:before="1"/>
        <w:ind w:left="136"/>
      </w:pPr>
      <w:r>
        <w:t>Kandidati bi trebali imati:</w:t>
      </w:r>
    </w:p>
    <w:p w14:paraId="46E104BF" w14:textId="77777777" w:rsidR="00516EC2" w:rsidRDefault="00516EC2">
      <w:pPr>
        <w:pStyle w:val="BodyText"/>
        <w:spacing w:before="8"/>
        <w:rPr>
          <w:sz w:val="20"/>
        </w:rPr>
      </w:pPr>
    </w:p>
    <w:p w14:paraId="417FE881" w14:textId="77777777" w:rsidR="00516EC2" w:rsidRDefault="00FC2B69">
      <w:pPr>
        <w:pStyle w:val="BodyText"/>
        <w:spacing w:before="1"/>
        <w:ind w:left="136"/>
      </w:pPr>
      <w:r>
        <w:t>Vještine upravljanja:</w:t>
      </w:r>
    </w:p>
    <w:p w14:paraId="630783E3" w14:textId="77777777" w:rsidR="00516EC2" w:rsidRDefault="00516EC2">
      <w:pPr>
        <w:pStyle w:val="BodyText"/>
        <w:spacing w:before="1"/>
        <w:rPr>
          <w:sz w:val="21"/>
        </w:rPr>
      </w:pPr>
    </w:p>
    <w:p w14:paraId="325B924D" w14:textId="77777777" w:rsidR="00516EC2" w:rsidRDefault="00FC2B69">
      <w:pPr>
        <w:pStyle w:val="ListParagraph"/>
        <w:numPr>
          <w:ilvl w:val="0"/>
          <w:numId w:val="2"/>
        </w:numPr>
        <w:tabs>
          <w:tab w:val="left" w:pos="856"/>
          <w:tab w:val="left" w:pos="857"/>
        </w:tabs>
        <w:ind w:right="136"/>
        <w:jc w:val="left"/>
      </w:pPr>
      <w:r>
        <w:t>sposobnost upravljanja velikom i složenom organizacijom i na strateškoj i na operativnoj razini,</w:t>
      </w:r>
    </w:p>
    <w:p w14:paraId="7E0870F5" w14:textId="77777777" w:rsidR="00516EC2" w:rsidRDefault="00FC2B69">
      <w:pPr>
        <w:pStyle w:val="ListParagraph"/>
        <w:numPr>
          <w:ilvl w:val="0"/>
          <w:numId w:val="2"/>
        </w:numPr>
        <w:tabs>
          <w:tab w:val="left" w:pos="856"/>
          <w:tab w:val="left" w:pos="857"/>
        </w:tabs>
        <w:ind w:right="132"/>
        <w:jc w:val="left"/>
      </w:pPr>
      <w:r>
        <w:t>sposobnost razvoja i provedbe strateške vizije, određivanja ciljeva te vođenja i motiviranja ljudi u višekulturnoj, višejezičnoj i višedisciplinarnoj sredini,</w:t>
      </w:r>
    </w:p>
    <w:p w14:paraId="24E250CE" w14:textId="25D0B85F" w:rsidR="00516EC2" w:rsidRDefault="00FC2B69">
      <w:pPr>
        <w:pStyle w:val="ListParagraph"/>
        <w:numPr>
          <w:ilvl w:val="0"/>
          <w:numId w:val="2"/>
        </w:numPr>
        <w:tabs>
          <w:tab w:val="left" w:pos="856"/>
          <w:tab w:val="left" w:pos="857"/>
        </w:tabs>
        <w:ind w:right="138"/>
        <w:jc w:val="left"/>
      </w:pPr>
      <w:r>
        <w:t>odrješitost u odlučivanju, što uključuje odluke o složenim pitanjima te u nepredviđenim, nepredvidivim i promjenjivim okolnostima,</w:t>
      </w:r>
    </w:p>
    <w:p w14:paraId="1942B499" w14:textId="77777777" w:rsidR="00516EC2" w:rsidRDefault="00FC2B69">
      <w:pPr>
        <w:pStyle w:val="ListParagraph"/>
        <w:numPr>
          <w:ilvl w:val="0"/>
          <w:numId w:val="2"/>
        </w:numPr>
        <w:tabs>
          <w:tab w:val="left" w:pos="856"/>
          <w:tab w:val="left" w:pos="857"/>
        </w:tabs>
        <w:spacing w:line="268" w:lineRule="exact"/>
        <w:ind w:hanging="361"/>
        <w:jc w:val="left"/>
      </w:pPr>
      <w:r>
        <w:t>jasna vizija promicanja ECDC-ovih ciljeva na razini EU-a i na međunarodnoj razini.</w:t>
      </w:r>
    </w:p>
    <w:p w14:paraId="2F17092E" w14:textId="77777777" w:rsidR="00516EC2" w:rsidRDefault="00516EC2">
      <w:pPr>
        <w:pStyle w:val="BodyText"/>
        <w:spacing w:before="7"/>
        <w:rPr>
          <w:sz w:val="20"/>
        </w:rPr>
      </w:pPr>
    </w:p>
    <w:p w14:paraId="21C7FB03" w14:textId="77777777" w:rsidR="00516EC2" w:rsidRDefault="00FC2B69">
      <w:pPr>
        <w:pStyle w:val="BodyText"/>
        <w:ind w:left="136"/>
      </w:pPr>
      <w:r>
        <w:t>Stručno znanje:</w:t>
      </w:r>
    </w:p>
    <w:p w14:paraId="0FF558A4" w14:textId="77777777" w:rsidR="00516EC2" w:rsidRDefault="00516EC2">
      <w:pPr>
        <w:pStyle w:val="BodyText"/>
        <w:spacing w:before="10"/>
        <w:rPr>
          <w:sz w:val="20"/>
        </w:rPr>
      </w:pPr>
    </w:p>
    <w:p w14:paraId="5256480B" w14:textId="557D63E9" w:rsidR="00516EC2" w:rsidRDefault="009C0ADA">
      <w:pPr>
        <w:pStyle w:val="ListParagraph"/>
        <w:numPr>
          <w:ilvl w:val="0"/>
          <w:numId w:val="2"/>
        </w:numPr>
        <w:tabs>
          <w:tab w:val="left" w:pos="857"/>
        </w:tabs>
        <w:ind w:right="134"/>
      </w:pPr>
      <w:r>
        <w:t>dobro poznavanje relevantnih europskih agencija i institucija, kao i međunarodnih agencija koje se bave zdravljem, kao što su WHO/UN, te načina njihova djelovanja i interakcije,</w:t>
      </w:r>
    </w:p>
    <w:p w14:paraId="5316BE3D" w14:textId="2DAF8076" w:rsidR="00516EC2" w:rsidRDefault="00FC2B69">
      <w:pPr>
        <w:pStyle w:val="ListParagraph"/>
        <w:numPr>
          <w:ilvl w:val="0"/>
          <w:numId w:val="2"/>
        </w:numPr>
        <w:tabs>
          <w:tab w:val="left" w:pos="857"/>
        </w:tabs>
        <w:spacing w:before="2"/>
        <w:ind w:right="134"/>
      </w:pPr>
      <w:r>
        <w:t>dobro poznavanje pitanja povezanih s politikom i praksom sprečavanja i kontrole zaraznih bolesti, srodnih međunarodnih aktivnosti i ostalih politika relevantnih za aktivnosti ECDC-a,</w:t>
      </w:r>
    </w:p>
    <w:p w14:paraId="7F6EFF34" w14:textId="77777777" w:rsidR="00516EC2" w:rsidRDefault="00FC2B69">
      <w:pPr>
        <w:pStyle w:val="ListParagraph"/>
        <w:numPr>
          <w:ilvl w:val="0"/>
          <w:numId w:val="2"/>
        </w:numPr>
        <w:tabs>
          <w:tab w:val="left" w:pos="856"/>
          <w:tab w:val="left" w:pos="857"/>
        </w:tabs>
        <w:spacing w:before="73" w:line="269" w:lineRule="exact"/>
        <w:ind w:hanging="361"/>
        <w:jc w:val="left"/>
      </w:pPr>
      <w:r>
        <w:t>dobro poznavanje i/ili iskustvo u aktivnostima procjene rizika i informiranja o riziku,</w:t>
      </w:r>
    </w:p>
    <w:p w14:paraId="60415F68" w14:textId="77777777" w:rsidR="00516EC2" w:rsidRDefault="00FC2B69">
      <w:pPr>
        <w:pStyle w:val="ListParagraph"/>
        <w:numPr>
          <w:ilvl w:val="0"/>
          <w:numId w:val="2"/>
        </w:numPr>
        <w:tabs>
          <w:tab w:val="left" w:pos="857"/>
        </w:tabs>
        <w:ind w:right="137"/>
      </w:pPr>
      <w:r>
        <w:t>praktično iskustvo u upravljanju proračunskim, financijskim i ljudskim resursima u nacionalnom, europskom i/ili međunarodnom okviru.</w:t>
      </w:r>
    </w:p>
    <w:p w14:paraId="46F5F9D0" w14:textId="77777777" w:rsidR="00516EC2" w:rsidRDefault="00516EC2">
      <w:pPr>
        <w:pStyle w:val="BodyText"/>
        <w:spacing w:before="9"/>
        <w:rPr>
          <w:sz w:val="20"/>
        </w:rPr>
      </w:pPr>
    </w:p>
    <w:p w14:paraId="657D8304" w14:textId="77777777" w:rsidR="00516EC2" w:rsidRDefault="00FC2B69">
      <w:pPr>
        <w:pStyle w:val="BodyText"/>
        <w:ind w:left="136"/>
      </w:pPr>
      <w:r>
        <w:t>Osobne kvalitete i vještine:</w:t>
      </w:r>
    </w:p>
    <w:p w14:paraId="1B182438" w14:textId="77777777" w:rsidR="00516EC2" w:rsidRDefault="00516EC2">
      <w:pPr>
        <w:pStyle w:val="BodyText"/>
        <w:spacing w:before="10"/>
        <w:rPr>
          <w:sz w:val="20"/>
        </w:rPr>
      </w:pPr>
    </w:p>
    <w:p w14:paraId="0832442D" w14:textId="1FA27C73" w:rsidR="00516EC2" w:rsidRDefault="00FC2B69">
      <w:pPr>
        <w:pStyle w:val="ListParagraph"/>
        <w:numPr>
          <w:ilvl w:val="0"/>
          <w:numId w:val="2"/>
        </w:numPr>
        <w:tabs>
          <w:tab w:val="left" w:pos="857"/>
        </w:tabs>
        <w:ind w:right="133"/>
      </w:pPr>
      <w:r>
        <w:t>časno ponašanje i učinkovita, tečna, transparentna i otvorena komunikacija na svim razinama s nacionalnim i lokalnim tijelima, dionicima, širom javnosti, europskim i međunarodnim organizacijama i medijima te sposobnost predstavljanja agencije u međunarodnim forumima,</w:t>
      </w:r>
    </w:p>
    <w:p w14:paraId="0B6E1EEF" w14:textId="77777777" w:rsidR="00516EC2" w:rsidRDefault="00FC2B69">
      <w:pPr>
        <w:pStyle w:val="ListParagraph"/>
        <w:numPr>
          <w:ilvl w:val="0"/>
          <w:numId w:val="2"/>
        </w:numPr>
        <w:tabs>
          <w:tab w:val="left" w:pos="857"/>
        </w:tabs>
        <w:ind w:right="133"/>
      </w:pPr>
      <w:r>
        <w:lastRenderedPageBreak/>
        <w:t>vješta uspostava dobrih međuljudskih odnosa te organizacijske i pregovaračke vještine i sposobnost izgradnje odnosa povjerenja u suradnji s institucijama i agencijama Europske unije, državama članicama i dionicima.</w:t>
      </w:r>
    </w:p>
    <w:p w14:paraId="1AA56D3A" w14:textId="77777777" w:rsidR="00516EC2" w:rsidRDefault="00FC2B69">
      <w:pPr>
        <w:pStyle w:val="ListParagraph"/>
        <w:numPr>
          <w:ilvl w:val="0"/>
          <w:numId w:val="2"/>
        </w:numPr>
        <w:tabs>
          <w:tab w:val="left" w:pos="857"/>
        </w:tabs>
        <w:ind w:right="135"/>
      </w:pPr>
      <w:r>
        <w:t>vrlo dobro razumijevanje i poštovanje vodećih načela ECDC-a o otvorenosti, transparentnosti, neovisnosti i znanstvenoj izvrsnosti.</w:t>
      </w:r>
    </w:p>
    <w:p w14:paraId="575BF89A" w14:textId="77777777" w:rsidR="00516EC2" w:rsidRDefault="00516EC2">
      <w:pPr>
        <w:pStyle w:val="BodyText"/>
        <w:rPr>
          <w:sz w:val="24"/>
        </w:rPr>
      </w:pPr>
    </w:p>
    <w:p w14:paraId="7E5CFE10" w14:textId="77777777" w:rsidR="00516EC2" w:rsidRDefault="00516EC2">
      <w:pPr>
        <w:pStyle w:val="BodyText"/>
        <w:rPr>
          <w:sz w:val="24"/>
        </w:rPr>
      </w:pPr>
    </w:p>
    <w:p w14:paraId="508BAF03" w14:textId="77777777" w:rsidR="00516EC2" w:rsidRDefault="00FC2B69">
      <w:pPr>
        <w:pStyle w:val="Heading1"/>
        <w:spacing w:before="184"/>
      </w:pPr>
      <w:r>
        <w:t>Uvjeti za sudjelovanje</w:t>
      </w:r>
    </w:p>
    <w:p w14:paraId="19C5E208" w14:textId="77777777" w:rsidR="00516EC2" w:rsidRDefault="00516EC2">
      <w:pPr>
        <w:pStyle w:val="BodyText"/>
        <w:spacing w:before="4"/>
        <w:rPr>
          <w:b/>
          <w:sz w:val="20"/>
        </w:rPr>
      </w:pPr>
    </w:p>
    <w:p w14:paraId="577CFB83" w14:textId="77777777" w:rsidR="00516EC2" w:rsidRDefault="00FC2B69">
      <w:pPr>
        <w:ind w:left="136"/>
      </w:pPr>
      <w:r>
        <w:t xml:space="preserve">U postupku odabira mogu sudjelovati samo kandidati koji </w:t>
      </w:r>
      <w:r>
        <w:rPr>
          <w:b/>
        </w:rPr>
        <w:t>na dan isteka roka za prijavu</w:t>
      </w:r>
      <w:r>
        <w:t xml:space="preserve"> ispunjavaju sljedeće formalne uvjete:</w:t>
      </w:r>
    </w:p>
    <w:p w14:paraId="70C9A9AD" w14:textId="77777777" w:rsidR="00516EC2" w:rsidRDefault="00516EC2">
      <w:pPr>
        <w:pStyle w:val="BodyText"/>
        <w:rPr>
          <w:sz w:val="21"/>
        </w:rPr>
      </w:pPr>
    </w:p>
    <w:p w14:paraId="037F50EE" w14:textId="77777777" w:rsidR="00516EC2" w:rsidRDefault="00FC2B69">
      <w:pPr>
        <w:pStyle w:val="ListParagraph"/>
        <w:numPr>
          <w:ilvl w:val="0"/>
          <w:numId w:val="1"/>
        </w:numPr>
        <w:tabs>
          <w:tab w:val="left" w:pos="420"/>
        </w:tabs>
        <w:jc w:val="left"/>
      </w:pPr>
      <w:r>
        <w:rPr>
          <w:u w:val="single"/>
        </w:rPr>
        <w:t>državljanstvo</w:t>
      </w:r>
      <w:r>
        <w:t>: kandidati moraju biti državljani jedne od država članica Europske unije,</w:t>
      </w:r>
    </w:p>
    <w:p w14:paraId="46507056" w14:textId="77777777" w:rsidR="00516EC2" w:rsidRDefault="00516EC2">
      <w:pPr>
        <w:pStyle w:val="BodyText"/>
        <w:spacing w:before="9"/>
        <w:rPr>
          <w:sz w:val="20"/>
        </w:rPr>
      </w:pPr>
    </w:p>
    <w:p w14:paraId="16F25DB9" w14:textId="77777777" w:rsidR="00516EC2" w:rsidRDefault="00FC2B69">
      <w:pPr>
        <w:pStyle w:val="ListParagraph"/>
        <w:numPr>
          <w:ilvl w:val="0"/>
          <w:numId w:val="1"/>
        </w:numPr>
        <w:tabs>
          <w:tab w:val="left" w:pos="420"/>
        </w:tabs>
        <w:jc w:val="left"/>
      </w:pPr>
      <w:r>
        <w:rPr>
          <w:u w:val="single"/>
        </w:rPr>
        <w:t>diploma visokoškolskog studija</w:t>
      </w:r>
      <w:r>
        <w:t>: kandidati moraju imati:</w:t>
      </w:r>
    </w:p>
    <w:p w14:paraId="6B024ACF" w14:textId="77777777" w:rsidR="00516EC2" w:rsidRDefault="00516EC2">
      <w:pPr>
        <w:pStyle w:val="BodyText"/>
        <w:spacing w:before="9"/>
        <w:rPr>
          <w:sz w:val="12"/>
        </w:rPr>
      </w:pPr>
    </w:p>
    <w:p w14:paraId="51FCE7C7" w14:textId="77777777" w:rsidR="00516EC2" w:rsidRDefault="00FC2B69">
      <w:pPr>
        <w:pStyle w:val="ListParagraph"/>
        <w:numPr>
          <w:ilvl w:val="1"/>
          <w:numId w:val="1"/>
        </w:numPr>
        <w:tabs>
          <w:tab w:val="left" w:pos="706"/>
        </w:tabs>
        <w:spacing w:before="92"/>
        <w:ind w:right="139"/>
      </w:pPr>
      <w:r>
        <w:t>diplomom potvrđen stupanj obrazovanja koji odgovara završenom visokoškolskom studiju, ako je redovito trajanje studija najmanje četiri godine, ili</w:t>
      </w:r>
    </w:p>
    <w:p w14:paraId="6E548B71" w14:textId="77777777" w:rsidR="00516EC2" w:rsidRDefault="00516EC2">
      <w:pPr>
        <w:pStyle w:val="BodyText"/>
        <w:spacing w:before="10"/>
        <w:rPr>
          <w:sz w:val="20"/>
        </w:rPr>
      </w:pPr>
    </w:p>
    <w:p w14:paraId="3C765933" w14:textId="77777777" w:rsidR="00516EC2" w:rsidRDefault="00FC2B69">
      <w:pPr>
        <w:pStyle w:val="ListParagraph"/>
        <w:numPr>
          <w:ilvl w:val="1"/>
          <w:numId w:val="1"/>
        </w:numPr>
        <w:tabs>
          <w:tab w:val="left" w:pos="706"/>
        </w:tabs>
        <w:ind w:right="132"/>
      </w:pPr>
      <w:r>
        <w:t>diplomom potvrđen stupanj obrazovanja koji odgovara završenom visokoškolskom studiju, uz odgovarajuće radno iskustvo od najmanje jedne godine ako je redovito trajanje studija najmanje tri godine (to jednogodišnje radno iskustvo ne ubraja se u radno iskustvo stečeno nakon završetka studija koje se traži u nastavku),</w:t>
      </w:r>
    </w:p>
    <w:p w14:paraId="2348C9C7" w14:textId="77777777" w:rsidR="00516EC2" w:rsidRDefault="00516EC2">
      <w:pPr>
        <w:pStyle w:val="BodyText"/>
        <w:rPr>
          <w:sz w:val="21"/>
        </w:rPr>
      </w:pPr>
    </w:p>
    <w:p w14:paraId="3A719F60" w14:textId="7824F7FD" w:rsidR="00516EC2" w:rsidRDefault="00FC2B69">
      <w:pPr>
        <w:pStyle w:val="ListParagraph"/>
        <w:numPr>
          <w:ilvl w:val="0"/>
          <w:numId w:val="1"/>
        </w:numPr>
        <w:tabs>
          <w:tab w:val="left" w:pos="420"/>
        </w:tabs>
        <w:spacing w:before="1"/>
        <w:ind w:right="132"/>
      </w:pPr>
      <w:r>
        <w:rPr>
          <w:u w:val="single"/>
        </w:rPr>
        <w:t>radno iskustvo</w:t>
      </w:r>
      <w:r>
        <w:t>: kandidati moraju imati najmanje 15 godina radnog iskustva</w:t>
      </w:r>
      <w:r>
        <w:rPr>
          <w:rStyle w:val="FootnoteReference"/>
        </w:rPr>
        <w:footnoteReference w:id="2"/>
      </w:r>
      <w:r>
        <w:t xml:space="preserve"> stečenog nakon završetka studija na razini za koju su osposobljeni tijekom prethodno spomenutog obrazovanja. Najmanje pet godina od navedenog radnog iskustva mora biti u području rada ECDC-a,</w:t>
      </w:r>
    </w:p>
    <w:p w14:paraId="33FBF5AD" w14:textId="77777777" w:rsidR="00516EC2" w:rsidRDefault="00516EC2">
      <w:pPr>
        <w:pStyle w:val="BodyText"/>
        <w:spacing w:before="7"/>
        <w:rPr>
          <w:sz w:val="20"/>
        </w:rPr>
      </w:pPr>
    </w:p>
    <w:p w14:paraId="640CB27B" w14:textId="47FC876F" w:rsidR="00516EC2" w:rsidRDefault="00FC2B69">
      <w:pPr>
        <w:pStyle w:val="ListParagraph"/>
        <w:numPr>
          <w:ilvl w:val="0"/>
          <w:numId w:val="1"/>
        </w:numPr>
        <w:tabs>
          <w:tab w:val="left" w:pos="420"/>
        </w:tabs>
        <w:spacing w:before="1"/>
        <w:ind w:right="135"/>
      </w:pPr>
      <w:r>
        <w:rPr>
          <w:u w:val="single"/>
        </w:rPr>
        <w:t>rukovoditeljsko iskustvo</w:t>
      </w:r>
      <w:r>
        <w:t>: najmanje pet godina radnog iskustva nakon završetka studija mora biti stečeno na radnome mjestu rukovoditelja visoke razine</w:t>
      </w:r>
      <w:r>
        <w:rPr>
          <w:rStyle w:val="FootnoteReference"/>
        </w:rPr>
        <w:footnoteReference w:id="3"/>
      </w:r>
      <w:r>
        <w:t xml:space="preserve"> u području relevantnom za ovo radno mjesto,</w:t>
      </w:r>
    </w:p>
    <w:p w14:paraId="56280135" w14:textId="77777777" w:rsidR="00516EC2" w:rsidRDefault="00516EC2">
      <w:pPr>
        <w:pStyle w:val="BodyText"/>
        <w:spacing w:before="10"/>
        <w:rPr>
          <w:sz w:val="20"/>
        </w:rPr>
      </w:pPr>
    </w:p>
    <w:p w14:paraId="57C33701" w14:textId="117F5F88" w:rsidR="00516EC2" w:rsidRDefault="00FC2B69">
      <w:pPr>
        <w:pStyle w:val="ListParagraph"/>
        <w:numPr>
          <w:ilvl w:val="0"/>
          <w:numId w:val="1"/>
        </w:numPr>
        <w:tabs>
          <w:tab w:val="left" w:pos="420"/>
        </w:tabs>
        <w:ind w:right="136"/>
      </w:pPr>
      <w:r>
        <w:rPr>
          <w:u w:val="single"/>
        </w:rPr>
        <w:t>jezici</w:t>
      </w:r>
      <w:r>
        <w:t>: kandidati moraju imati temeljito znanje jednog službenog jezika EU-a</w:t>
      </w:r>
      <w:r>
        <w:rPr>
          <w:rStyle w:val="FootnoteReference"/>
        </w:rPr>
        <w:footnoteReference w:id="4"/>
      </w:r>
      <w:r>
        <w:t xml:space="preserve"> i zadovoljavajuće znanje još jednog službenog jezika EU-a. Zadovoljavajuće znanje tog drugog službenog jezika EU-a provjerit će komisije za odabir tijekom intervjua među ostalim tako što intervju (djelomično) mogu voditi na tom drugom jeziku,</w:t>
      </w:r>
    </w:p>
    <w:p w14:paraId="18CAB4A8" w14:textId="1355C67C" w:rsidR="00516EC2" w:rsidRDefault="00FC2B69">
      <w:pPr>
        <w:pStyle w:val="ListParagraph"/>
        <w:numPr>
          <w:ilvl w:val="0"/>
          <w:numId w:val="1"/>
        </w:numPr>
        <w:tabs>
          <w:tab w:val="left" w:pos="420"/>
        </w:tabs>
        <w:spacing w:before="73"/>
        <w:ind w:right="135"/>
      </w:pPr>
      <w:r>
        <w:rPr>
          <w:u w:val="single"/>
        </w:rPr>
        <w:t>dobna granica</w:t>
      </w:r>
      <w:r>
        <w:t>: na dan isteka roka za prijavu kandidati moraju biti u mogućnosti odraditi pun petogodišnji mandat prije nego što navrše dob za umirovljenje. Za privremeno osoblje Europske unije dob za umirovljenje nastupa zadnjeg dana u mjesecu u kojem osoba navršava 66 godina (vidjeti članak 47. Uvjeta zaposlenja ostalih službenika Europske unije</w:t>
      </w:r>
      <w:r>
        <w:rPr>
          <w:rStyle w:val="FootnoteReference"/>
          <w:spacing w:val="-2"/>
        </w:rPr>
        <w:footnoteReference w:id="5"/>
      </w:r>
      <w:r>
        <w:t>).</w:t>
      </w:r>
    </w:p>
    <w:p w14:paraId="33815DE9" w14:textId="77777777" w:rsidR="00516EC2" w:rsidRDefault="00516EC2">
      <w:pPr>
        <w:pStyle w:val="BodyText"/>
        <w:rPr>
          <w:sz w:val="24"/>
        </w:rPr>
      </w:pPr>
    </w:p>
    <w:p w14:paraId="04FC7510" w14:textId="77777777" w:rsidR="00516EC2" w:rsidRDefault="00516EC2">
      <w:pPr>
        <w:pStyle w:val="BodyText"/>
        <w:rPr>
          <w:sz w:val="24"/>
        </w:rPr>
      </w:pPr>
    </w:p>
    <w:p w14:paraId="642389E1" w14:textId="77777777" w:rsidR="00516EC2" w:rsidRDefault="00FC2B69">
      <w:pPr>
        <w:pStyle w:val="Heading1"/>
        <w:spacing w:before="184"/>
        <w:jc w:val="both"/>
      </w:pPr>
      <w:r>
        <w:t>Odabir i imenovanje</w:t>
      </w:r>
    </w:p>
    <w:p w14:paraId="426D56E1" w14:textId="77777777" w:rsidR="00516EC2" w:rsidRDefault="00516EC2">
      <w:pPr>
        <w:pStyle w:val="BodyText"/>
        <w:spacing w:before="6"/>
        <w:rPr>
          <w:b/>
          <w:sz w:val="20"/>
        </w:rPr>
      </w:pPr>
    </w:p>
    <w:p w14:paraId="77AABCEB" w14:textId="77777777" w:rsidR="00516EC2" w:rsidRDefault="00FC2B69">
      <w:pPr>
        <w:pStyle w:val="BodyText"/>
        <w:ind w:left="136" w:right="133"/>
        <w:jc w:val="both"/>
      </w:pPr>
      <w:r>
        <w:t>Direktora imenuje Upravni odbor ECDC-a među kandidatima iz užeg izbora koji utvrđuje Europska komisija.</w:t>
      </w:r>
    </w:p>
    <w:p w14:paraId="6C1E72A3" w14:textId="77777777" w:rsidR="00516EC2" w:rsidRDefault="00516EC2">
      <w:pPr>
        <w:pStyle w:val="BodyText"/>
        <w:spacing w:before="10"/>
        <w:rPr>
          <w:sz w:val="20"/>
        </w:rPr>
      </w:pPr>
    </w:p>
    <w:p w14:paraId="6720CD60" w14:textId="59497B18" w:rsidR="00516EC2" w:rsidRDefault="00FC2B69">
      <w:pPr>
        <w:pStyle w:val="BodyText"/>
        <w:spacing w:before="1"/>
        <w:ind w:left="136" w:right="135"/>
        <w:jc w:val="both"/>
      </w:pPr>
      <w:r>
        <w:t>Kako bi utvrdila taj uži popis kandidata, Europska komisija organizira odabir u skladu sa svojim postupcima odabira i zapošljavanja (vidjeti Dokument o politici zapošljavanja viših dužnosnika</w:t>
      </w:r>
      <w:r>
        <w:rPr>
          <w:rStyle w:val="FootnoteReference"/>
        </w:rPr>
        <w:footnoteReference w:id="6"/>
      </w:r>
      <w:r>
        <w:t xml:space="preserve"> </w:t>
      </w:r>
      <w:r>
        <w:rPr>
          <w:vertAlign w:val="superscript"/>
        </w:rPr>
        <w:t>6</w:t>
      </w:r>
      <w:r>
        <w:t>).</w:t>
      </w:r>
    </w:p>
    <w:p w14:paraId="7073C6F2" w14:textId="77777777" w:rsidR="00516EC2" w:rsidRDefault="00516EC2">
      <w:pPr>
        <w:pStyle w:val="BodyText"/>
        <w:spacing w:before="8"/>
        <w:rPr>
          <w:sz w:val="20"/>
        </w:rPr>
      </w:pPr>
    </w:p>
    <w:p w14:paraId="24A42169" w14:textId="77777777" w:rsidR="00516EC2" w:rsidRDefault="00FC2B69">
      <w:pPr>
        <w:pStyle w:val="BodyText"/>
        <w:ind w:left="136" w:right="133"/>
        <w:jc w:val="both"/>
      </w:pPr>
      <w:r>
        <w:t>U okviru postupka odabira Europska komisija osniva komisiju za predodabir, koja pregledava sve prijave, provjerava ispunjavaju li kandidati uvjete za sudjelovanje i na temelju navedenih kriterija za odabir izdvaja kandidate najboljeg profila, od kojih neke može pozvati na intervju.</w:t>
      </w:r>
    </w:p>
    <w:p w14:paraId="47A27769" w14:textId="77777777" w:rsidR="00516EC2" w:rsidRDefault="00516EC2">
      <w:pPr>
        <w:pStyle w:val="BodyText"/>
        <w:spacing w:before="11"/>
        <w:rPr>
          <w:sz w:val="20"/>
        </w:rPr>
      </w:pPr>
    </w:p>
    <w:p w14:paraId="3ECBCED0" w14:textId="77777777" w:rsidR="00516EC2" w:rsidRDefault="00FC2B69">
      <w:pPr>
        <w:pStyle w:val="BodyText"/>
        <w:ind w:left="136" w:right="133"/>
        <w:jc w:val="both"/>
      </w:pPr>
      <w:r>
        <w:t>Na temelju provedenih intervjua komisija za predodabir donosi zaključke i predlaže kandidate za intervju s Komisijinim savjetodavnim odborom za imenovanja. Uzimajući u obzir zaključke komisije za predodabir, taj odbor odabire kandidate koje će pozvati na intervju.</w:t>
      </w:r>
    </w:p>
    <w:p w14:paraId="2BC9C8F9" w14:textId="77777777" w:rsidR="00516EC2" w:rsidRDefault="00516EC2">
      <w:pPr>
        <w:pStyle w:val="BodyText"/>
        <w:spacing w:before="11"/>
        <w:rPr>
          <w:sz w:val="20"/>
        </w:rPr>
      </w:pPr>
    </w:p>
    <w:p w14:paraId="772FAFE7" w14:textId="77777777" w:rsidR="00516EC2" w:rsidRDefault="00FC2B69">
      <w:pPr>
        <w:pStyle w:val="BodyText"/>
        <w:ind w:left="136" w:right="134"/>
        <w:jc w:val="both"/>
      </w:pPr>
      <w:r>
        <w:t>Kandidati koje Komisijin savjetodavni odbor za imenovanja odabere za intervju pozivaju se na cjelodnevno testiranje rukovoditeljskih vještina koje u centru za procjenu provode vanjski savjetnici za zapošljavanje. Na temelju rezultata intervjua i izvješća centra za procjenu Komisijin savjetodavni odbor za imenovanja sastavlja uži popis kandidata koje smatra prikladnima za radno mjesto direktora ECDC-a.</w:t>
      </w:r>
    </w:p>
    <w:p w14:paraId="7B7C1AA3" w14:textId="77777777" w:rsidR="00516EC2" w:rsidRDefault="00516EC2">
      <w:pPr>
        <w:pStyle w:val="BodyText"/>
        <w:spacing w:before="9"/>
        <w:rPr>
          <w:sz w:val="20"/>
        </w:rPr>
      </w:pPr>
    </w:p>
    <w:p w14:paraId="6316EACE" w14:textId="77777777" w:rsidR="00516EC2" w:rsidRDefault="00FC2B69">
      <w:pPr>
        <w:pStyle w:val="BodyText"/>
        <w:ind w:left="136" w:right="132"/>
        <w:jc w:val="both"/>
      </w:pPr>
      <w:r>
        <w:t>Kandidate s tog popisa intervjuiraju član ili članovi Komisije nadležni za glavnu upravu zaduženu za odnose s ECDC-om.</w:t>
      </w:r>
    </w:p>
    <w:p w14:paraId="013AC9F7" w14:textId="77777777" w:rsidR="00516EC2" w:rsidRDefault="00516EC2">
      <w:pPr>
        <w:pStyle w:val="BodyText"/>
        <w:spacing w:before="10"/>
        <w:rPr>
          <w:sz w:val="20"/>
        </w:rPr>
      </w:pPr>
    </w:p>
    <w:p w14:paraId="4762B623" w14:textId="77777777" w:rsidR="00516EC2" w:rsidRDefault="00FC2B69">
      <w:pPr>
        <w:pStyle w:val="BodyText"/>
        <w:ind w:left="136" w:right="133"/>
        <w:jc w:val="both"/>
      </w:pPr>
      <w:r>
        <w:t>Nakon tih intervjua Europska komisija sastavit će popis kandidata koji su ušli u uži izbor i proslijediti ga Upravnom odboru ECDC-a. Ulazak u uži izbor ne jamči imenovanje.</w:t>
      </w:r>
    </w:p>
    <w:p w14:paraId="30F23967" w14:textId="77777777" w:rsidR="00516EC2" w:rsidRDefault="00516EC2">
      <w:pPr>
        <w:pStyle w:val="BodyText"/>
        <w:spacing w:before="10"/>
        <w:rPr>
          <w:sz w:val="20"/>
        </w:rPr>
      </w:pPr>
    </w:p>
    <w:p w14:paraId="5790FDCE" w14:textId="77777777" w:rsidR="00516EC2" w:rsidRDefault="00FC2B69">
      <w:pPr>
        <w:pStyle w:val="BodyText"/>
        <w:ind w:left="136" w:right="132"/>
        <w:jc w:val="both"/>
      </w:pPr>
      <w:r>
        <w:t>Upravni odbor ECDC-a intervjuirat će te kandidate i imenovati jednog kandidata. Prije imenovanja od predloženog kandidata tražit će se da pred Europskim parlamentom da izjavu i odgovara na pitanja.</w:t>
      </w:r>
    </w:p>
    <w:p w14:paraId="7065BC6C" w14:textId="77777777" w:rsidR="00516EC2" w:rsidRDefault="00516EC2">
      <w:pPr>
        <w:pStyle w:val="BodyText"/>
        <w:spacing w:before="1"/>
        <w:rPr>
          <w:sz w:val="21"/>
        </w:rPr>
      </w:pPr>
    </w:p>
    <w:p w14:paraId="09FA6D5B" w14:textId="77777777" w:rsidR="00516EC2" w:rsidRDefault="00FC2B69">
      <w:pPr>
        <w:pStyle w:val="BodyText"/>
        <w:ind w:left="136" w:right="141"/>
        <w:jc w:val="both"/>
      </w:pPr>
      <w:r>
        <w:t>Od kandidata se može zahtijevati i da se podvrgnu dodatnim intervjuima i/ili testiranjima, osim navedenih.</w:t>
      </w:r>
    </w:p>
    <w:p w14:paraId="6741E1BF" w14:textId="77777777" w:rsidR="00516EC2" w:rsidRDefault="00516EC2">
      <w:pPr>
        <w:pStyle w:val="BodyText"/>
        <w:rPr>
          <w:sz w:val="24"/>
        </w:rPr>
      </w:pPr>
    </w:p>
    <w:p w14:paraId="657E443C" w14:textId="77777777" w:rsidR="00516EC2" w:rsidRDefault="00516EC2">
      <w:pPr>
        <w:pStyle w:val="BodyText"/>
        <w:rPr>
          <w:sz w:val="24"/>
        </w:rPr>
      </w:pPr>
    </w:p>
    <w:p w14:paraId="380CA88F" w14:textId="77777777" w:rsidR="00516EC2" w:rsidRDefault="00FC2B69">
      <w:pPr>
        <w:pStyle w:val="Heading1"/>
        <w:spacing w:before="185"/>
        <w:jc w:val="both"/>
      </w:pPr>
      <w:r>
        <w:t>Jednake mogućnosti</w:t>
      </w:r>
    </w:p>
    <w:p w14:paraId="58AB4BF7" w14:textId="77777777" w:rsidR="00516EC2" w:rsidRDefault="00516EC2">
      <w:pPr>
        <w:pStyle w:val="BodyText"/>
        <w:spacing w:before="4"/>
        <w:rPr>
          <w:b/>
          <w:sz w:val="20"/>
        </w:rPr>
      </w:pPr>
    </w:p>
    <w:p w14:paraId="0E062C3D" w14:textId="51072FE7" w:rsidR="00516EC2" w:rsidRDefault="00FC2B69" w:rsidP="00334459">
      <w:pPr>
        <w:pStyle w:val="BodyText"/>
        <w:ind w:left="136" w:right="135"/>
        <w:jc w:val="both"/>
      </w:pPr>
      <w:r>
        <w:t>Komisija i ECDC nastoje ostvariti strateški cilj postizanja rodne ravnopravnosti na svim razinama upravljanja do kraja mandata aktualne Komisije te primjenjuju politiku jednakih mogućnosti i nediskriminacije u skladu s člankom 1.d Pravilnika o osoblju</w:t>
      </w:r>
      <w:r>
        <w:rPr>
          <w:rStyle w:val="FootnoteReference"/>
        </w:rPr>
        <w:footnoteReference w:id="7"/>
      </w:r>
      <w:r>
        <w:t xml:space="preserve"> i potiču prijave koje bi mogle doprinijeti većoj raznolikosti, rodnoj ravnopravnosti i ukupnoj geografskoj ravnoteži.</w:t>
      </w:r>
    </w:p>
    <w:p w14:paraId="1DDBE88B" w14:textId="77777777" w:rsidR="00516EC2" w:rsidRDefault="00516EC2">
      <w:pPr>
        <w:pStyle w:val="BodyText"/>
        <w:spacing w:before="4"/>
        <w:rPr>
          <w:sz w:val="21"/>
        </w:rPr>
      </w:pPr>
    </w:p>
    <w:p w14:paraId="1874E1CF" w14:textId="77777777" w:rsidR="00516EC2" w:rsidRDefault="00FC2B69">
      <w:pPr>
        <w:pStyle w:val="Heading1"/>
        <w:jc w:val="both"/>
      </w:pPr>
      <w:r>
        <w:t>Uvjeti zapošljavanja</w:t>
      </w:r>
    </w:p>
    <w:p w14:paraId="57077659" w14:textId="77777777" w:rsidR="00516EC2" w:rsidRDefault="00516EC2">
      <w:pPr>
        <w:pStyle w:val="BodyText"/>
        <w:spacing w:before="7"/>
        <w:rPr>
          <w:b/>
          <w:sz w:val="20"/>
        </w:rPr>
      </w:pPr>
    </w:p>
    <w:p w14:paraId="54541E5B" w14:textId="77777777" w:rsidR="00516EC2" w:rsidRDefault="00FC2B69">
      <w:pPr>
        <w:pStyle w:val="BodyText"/>
        <w:ind w:left="136" w:right="142"/>
        <w:jc w:val="both"/>
      </w:pPr>
      <w:r>
        <w:t>Plaća i uvjeti zapošljavanja utvrđeni su u Uvjetima zaposlenja ostalih službenika Europske unije.</w:t>
      </w:r>
    </w:p>
    <w:p w14:paraId="3A1D63B9" w14:textId="77777777" w:rsidR="00516EC2" w:rsidRDefault="00516EC2">
      <w:pPr>
        <w:pStyle w:val="BodyText"/>
        <w:spacing w:before="8"/>
        <w:rPr>
          <w:sz w:val="20"/>
        </w:rPr>
      </w:pPr>
    </w:p>
    <w:p w14:paraId="148781CF" w14:textId="39EE2506" w:rsidR="00516EC2" w:rsidRDefault="00DC15F3">
      <w:pPr>
        <w:pStyle w:val="BodyText"/>
        <w:ind w:left="136" w:right="132"/>
        <w:jc w:val="both"/>
      </w:pPr>
      <w:r>
        <w:rPr>
          <w:noProof/>
        </w:rPr>
        <mc:AlternateContent>
          <mc:Choice Requires="wps">
            <w:drawing>
              <wp:anchor distT="0" distB="0" distL="114300" distR="114300" simplePos="0" relativeHeight="251657728" behindDoc="1" locked="0" layoutInCell="1" allowOverlap="1" wp14:anchorId="02D483D1" wp14:editId="5FA0E13F">
                <wp:simplePos x="0" y="0"/>
                <wp:positionH relativeFrom="page">
                  <wp:posOffset>2232025</wp:posOffset>
                </wp:positionH>
                <wp:positionV relativeFrom="paragraph">
                  <wp:posOffset>165735</wp:posOffset>
                </wp:positionV>
                <wp:extent cx="44450" cy="160020"/>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DCE85" id="docshape9" o:spid="_x0000_s1026" style="position:absolute;margin-left:175.75pt;margin-top:13.05pt;width:3.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" fillcolor="#d2d2d2" stroked="f">
                <w10:wrap anchorx="page"/>
              </v:rect>
            </w:pict>
          </mc:Fallback>
        </mc:AlternateContent>
      </w:r>
      <w:r w:rsidR="00F869D2">
        <w:t>Uspješnog će kandidata upravni odbor ECDC-a zaposliti kao člana privremenog osoblja u razredu AD 14</w:t>
      </w:r>
      <w:r w:rsidR="00F869D2">
        <w:rPr>
          <w:rStyle w:val="FootnoteReference"/>
        </w:rPr>
        <w:footnoteReference w:id="8"/>
      </w:r>
      <w:r w:rsidR="00F869D2">
        <w:t>. Ovisno o duljini radnog iskustva bit će svrstan u stupanj 1 ili 2 u tom razredu.</w:t>
      </w:r>
    </w:p>
    <w:p w14:paraId="2D8B8E42" w14:textId="77777777" w:rsidR="00516EC2" w:rsidRDefault="00516EC2">
      <w:pPr>
        <w:pStyle w:val="BodyText"/>
        <w:rPr>
          <w:sz w:val="21"/>
        </w:rPr>
      </w:pPr>
    </w:p>
    <w:p w14:paraId="5DDD4C52" w14:textId="77777777" w:rsidR="00516EC2" w:rsidRDefault="00FC2B69">
      <w:pPr>
        <w:pStyle w:val="BodyText"/>
        <w:ind w:left="136" w:right="134"/>
        <w:jc w:val="both"/>
      </w:pPr>
      <w:r>
        <w:t>Imenuje se na početni mandat od pet godina, s mogućnošću produljenja za razdoblje od najviše pet godina u skladu s osnivačkom uredbom ECDC-a primjenjivom u vrijeme zapošljavanja.</w:t>
      </w:r>
    </w:p>
    <w:p w14:paraId="0DC5D789" w14:textId="77777777" w:rsidR="00516EC2" w:rsidRDefault="00516EC2">
      <w:pPr>
        <w:pStyle w:val="BodyText"/>
        <w:spacing w:before="10"/>
        <w:rPr>
          <w:sz w:val="20"/>
        </w:rPr>
      </w:pPr>
    </w:p>
    <w:p w14:paraId="79EA4BE7" w14:textId="77777777" w:rsidR="00516EC2" w:rsidRDefault="00FC2B69">
      <w:pPr>
        <w:pStyle w:val="BodyText"/>
        <w:ind w:left="136"/>
      </w:pPr>
      <w:r>
        <w:t>Napominjemo da u skladu s Uvjetima zaposlenja ostalih službenika Europske unije svaki novi član osoblja mora proći probni rad u trajanju od devet mjeseci.</w:t>
      </w:r>
    </w:p>
    <w:p w14:paraId="2C6ED268" w14:textId="77777777" w:rsidR="00516EC2" w:rsidRDefault="00516EC2">
      <w:pPr>
        <w:pStyle w:val="BodyText"/>
        <w:spacing w:before="11"/>
        <w:rPr>
          <w:sz w:val="20"/>
        </w:rPr>
      </w:pPr>
    </w:p>
    <w:p w14:paraId="328AB26E" w14:textId="77777777" w:rsidR="00516EC2" w:rsidRDefault="00FC2B69">
      <w:pPr>
        <w:pStyle w:val="BodyText"/>
        <w:spacing w:line="465" w:lineRule="auto"/>
        <w:ind w:left="136" w:right="2142"/>
      </w:pPr>
      <w:r>
        <w:t xml:space="preserve">Mjesto rada je Stockholm (Švedska), jer je ondje sjedište ECDC-a. Radno </w:t>
      </w:r>
      <w:r>
        <w:lastRenderedPageBreak/>
        <w:t>mjesto slobodno je od 16. lipnja 2024.</w:t>
      </w:r>
    </w:p>
    <w:p w14:paraId="0DEBE6DA" w14:textId="77777777" w:rsidR="00516EC2" w:rsidRDefault="00FC2B69">
      <w:pPr>
        <w:pStyle w:val="Heading1"/>
        <w:spacing w:before="10"/>
      </w:pPr>
      <w:r>
        <w:t>Važna obavijest za kandidate</w:t>
      </w:r>
    </w:p>
    <w:p w14:paraId="2E03F836" w14:textId="77777777" w:rsidR="00516EC2" w:rsidRDefault="00516EC2">
      <w:pPr>
        <w:pStyle w:val="BodyText"/>
        <w:spacing w:before="4"/>
        <w:rPr>
          <w:b/>
          <w:sz w:val="20"/>
        </w:rPr>
      </w:pPr>
    </w:p>
    <w:p w14:paraId="6956003D" w14:textId="77777777" w:rsidR="00516EC2" w:rsidRDefault="00FC2B69">
      <w:pPr>
        <w:pStyle w:val="BodyText"/>
        <w:ind w:left="136" w:right="140"/>
        <w:jc w:val="both"/>
      </w:pPr>
      <w:r>
        <w:t>Podsjećamo da je rad komisija za odabir tajan. Kandidati ne smiju ni izravno ni neizravno kontaktirati s članovima odborâ niti to smiju učiniti treće osobe u njihovo ime. Sve upite treba uputiti tajništvu relevantne komisije.</w:t>
      </w:r>
    </w:p>
    <w:p w14:paraId="23540F16" w14:textId="77777777" w:rsidR="00516EC2" w:rsidRDefault="00516EC2">
      <w:pPr>
        <w:pStyle w:val="BodyText"/>
        <w:spacing w:before="3"/>
        <w:rPr>
          <w:sz w:val="21"/>
        </w:rPr>
      </w:pPr>
    </w:p>
    <w:p w14:paraId="6AD37A2F" w14:textId="77777777" w:rsidR="00516EC2" w:rsidRDefault="00FC2B69">
      <w:pPr>
        <w:pStyle w:val="Heading1"/>
      </w:pPr>
      <w:r>
        <w:t>Zaštita osobnih podataka</w:t>
      </w:r>
    </w:p>
    <w:p w14:paraId="4E0349F2" w14:textId="77777777" w:rsidR="00516EC2" w:rsidRDefault="00516EC2">
      <w:pPr>
        <w:pStyle w:val="BodyText"/>
        <w:spacing w:before="6"/>
        <w:rPr>
          <w:b/>
          <w:sz w:val="20"/>
        </w:rPr>
      </w:pPr>
    </w:p>
    <w:p w14:paraId="6F389FE7" w14:textId="1C3856B7" w:rsidR="00516EC2" w:rsidRDefault="00FC2B69">
      <w:pPr>
        <w:pStyle w:val="BodyText"/>
        <w:spacing w:before="1"/>
        <w:ind w:left="136" w:right="130"/>
        <w:jc w:val="both"/>
      </w:pPr>
      <w:r>
        <w:t>Komisija jamči obradu osobnih podataka kandidata u skladu s Uredbom (EU) 2018/1725 Europskog parlamenta i Vijeća</w:t>
      </w:r>
      <w:r>
        <w:rPr>
          <w:rStyle w:val="FootnoteReference"/>
        </w:rPr>
        <w:footnoteReference w:id="9"/>
      </w:r>
      <w:r>
        <w:t>. To se osobito odnosi na povjerljivost i sigurnost takvih podataka.</w:t>
      </w:r>
    </w:p>
    <w:p w14:paraId="6A5B5CB2" w14:textId="77777777" w:rsidR="00516EC2" w:rsidRDefault="00516EC2">
      <w:pPr>
        <w:pStyle w:val="BodyText"/>
        <w:spacing w:before="2"/>
        <w:rPr>
          <w:sz w:val="21"/>
        </w:rPr>
      </w:pPr>
    </w:p>
    <w:p w14:paraId="4E001B90" w14:textId="77777777" w:rsidR="00516EC2" w:rsidRDefault="00FC2B69">
      <w:pPr>
        <w:pStyle w:val="Heading1"/>
      </w:pPr>
      <w:r>
        <w:t>Neovisnost i izjava o mogućem sukobu interesa</w:t>
      </w:r>
    </w:p>
    <w:p w14:paraId="752E49A9" w14:textId="77777777" w:rsidR="00516EC2" w:rsidRDefault="00516EC2">
      <w:pPr>
        <w:pStyle w:val="BodyText"/>
        <w:spacing w:before="4"/>
        <w:rPr>
          <w:b/>
          <w:sz w:val="20"/>
        </w:rPr>
      </w:pPr>
    </w:p>
    <w:p w14:paraId="0BCCDD3F" w14:textId="3CF40A75" w:rsidR="00516EC2" w:rsidRDefault="003B4F1B">
      <w:pPr>
        <w:pStyle w:val="BodyText"/>
        <w:spacing w:before="1"/>
        <w:ind w:left="136" w:right="138"/>
        <w:jc w:val="both"/>
      </w:pPr>
      <w:r>
        <w:t>Kandidati će morati potpisati izjavu o preuzimanju obveze neovisnog djelovanja u javnom interesu i izjavu o svim interesima za koje bi se moglo smatrati da su u sukobu s njihovom neovisnošću.</w:t>
      </w:r>
    </w:p>
    <w:p w14:paraId="4D506F4F" w14:textId="77777777" w:rsidR="00516EC2" w:rsidRDefault="00516EC2">
      <w:pPr>
        <w:pStyle w:val="BodyText"/>
        <w:rPr>
          <w:sz w:val="24"/>
        </w:rPr>
      </w:pPr>
    </w:p>
    <w:p w14:paraId="0741D50E" w14:textId="77777777" w:rsidR="00516EC2" w:rsidRDefault="00FC2B69">
      <w:pPr>
        <w:pStyle w:val="Heading1"/>
        <w:spacing w:before="187"/>
      </w:pPr>
      <w:r>
        <w:t>Postupak prijave</w:t>
      </w:r>
    </w:p>
    <w:p w14:paraId="03972BB1" w14:textId="77777777" w:rsidR="00516EC2" w:rsidRDefault="00516EC2">
      <w:pPr>
        <w:pStyle w:val="BodyText"/>
        <w:spacing w:before="4"/>
        <w:rPr>
          <w:b/>
          <w:sz w:val="20"/>
        </w:rPr>
      </w:pPr>
    </w:p>
    <w:p w14:paraId="5973E237" w14:textId="77777777" w:rsidR="00516EC2" w:rsidRDefault="00FC2B69">
      <w:pPr>
        <w:pStyle w:val="BodyText"/>
        <w:ind w:left="136" w:right="133"/>
        <w:jc w:val="both"/>
      </w:pPr>
      <w:r>
        <w:t>Kandidati prije podnošenja prijave moraju pažljivo provjeriti ispunjavaju li sve uvjete za sudjelovanje, osobito uvjete o traženom stupnju obrazovanja, radnom iskustvu na visokoj razini i znanju jezika. Kandidati koji ne ispunjavaju neki od tih uvjeta automatski se isključuju iz postupka odabira.</w:t>
      </w:r>
    </w:p>
    <w:p w14:paraId="4DBA4BAB" w14:textId="77777777" w:rsidR="00516EC2" w:rsidRDefault="00516EC2">
      <w:pPr>
        <w:pStyle w:val="BodyText"/>
        <w:rPr>
          <w:sz w:val="20"/>
        </w:rPr>
      </w:pPr>
    </w:p>
    <w:p w14:paraId="6FF7CAD7" w14:textId="77777777" w:rsidR="00516EC2" w:rsidRDefault="00FC2B69">
      <w:pPr>
        <w:pStyle w:val="BodyText"/>
        <w:spacing w:before="71"/>
        <w:ind w:left="136"/>
      </w:pPr>
      <w:r>
        <w:t>Zainteresirani kandidati moraju se prijaviti putem sljedeće poveznice, a potom slijediti upute za različite faze postupka:</w:t>
      </w:r>
    </w:p>
    <w:p w14:paraId="102D7F90" w14:textId="77777777" w:rsidR="00516EC2" w:rsidRDefault="00516EC2">
      <w:pPr>
        <w:pStyle w:val="BodyText"/>
        <w:spacing w:before="11"/>
        <w:rPr>
          <w:sz w:val="20"/>
        </w:rPr>
      </w:pPr>
    </w:p>
    <w:p w14:paraId="3C8368B1" w14:textId="77777777" w:rsidR="00516EC2" w:rsidRDefault="000A5527">
      <w:pPr>
        <w:pStyle w:val="BodyText"/>
        <w:ind w:left="136"/>
      </w:pPr>
      <w:hyperlink r:id="rId9">
        <w:r w:rsidR="00F869D2">
          <w:rPr>
            <w:color w:val="0000FF"/>
            <w:u w:val="single" w:color="0000FF"/>
          </w:rPr>
          <w:t>https://ec.europa.eu/dgs/human-resources/seniormanagementvacancies/</w:t>
        </w:r>
      </w:hyperlink>
    </w:p>
    <w:p w14:paraId="18541CAE" w14:textId="77777777" w:rsidR="00516EC2" w:rsidRDefault="00516EC2">
      <w:pPr>
        <w:pStyle w:val="BodyText"/>
        <w:rPr>
          <w:sz w:val="13"/>
        </w:rPr>
      </w:pPr>
    </w:p>
    <w:p w14:paraId="6DDCF289" w14:textId="77777777" w:rsidR="00516EC2" w:rsidRDefault="00FC2B69">
      <w:pPr>
        <w:pStyle w:val="BodyText"/>
        <w:spacing w:before="92"/>
        <w:ind w:left="136" w:right="132"/>
        <w:jc w:val="both"/>
      </w:pPr>
      <w:r>
        <w:t>Kandidati moraju imati valjanu e-adresu, koja će služiti za potvrdu prijave i korespondenciju tijekom različitih faza postupka. O svakoj promjeni te adrese dužni su obavijestiti Europsku komisiju.</w:t>
      </w:r>
    </w:p>
    <w:p w14:paraId="50515BDE" w14:textId="77777777" w:rsidR="00516EC2" w:rsidRDefault="00516EC2">
      <w:pPr>
        <w:pStyle w:val="BodyText"/>
        <w:spacing w:before="9"/>
        <w:rPr>
          <w:sz w:val="20"/>
        </w:rPr>
      </w:pPr>
    </w:p>
    <w:p w14:paraId="5C3E3547" w14:textId="4BFCA4FA" w:rsidR="00516EC2" w:rsidRDefault="00FC2B69">
      <w:pPr>
        <w:pStyle w:val="BodyText"/>
        <w:ind w:left="136" w:right="133"/>
        <w:jc w:val="both"/>
      </w:pPr>
      <w:r>
        <w:t>Kako bi dovršili postupak prijave, kandidati moraju učitati svoj životopis u PDF formatu, po mogućnosti u formatu za životopise Europass</w:t>
      </w:r>
      <w:r>
        <w:rPr>
          <w:rStyle w:val="FootnoteReference"/>
        </w:rPr>
        <w:footnoteReference w:id="10"/>
      </w:r>
      <w:r>
        <w:t xml:space="preserve"> i unijeti motivacijsko pismo (najviše 8 000 znakova). Životopis i motivacijsko pismo kandidati mogu sastaviti na bilo kojem službenom jeziku EU-a.</w:t>
      </w:r>
    </w:p>
    <w:p w14:paraId="598ED8A2" w14:textId="77777777" w:rsidR="00516EC2" w:rsidRDefault="00516EC2">
      <w:pPr>
        <w:pStyle w:val="BodyText"/>
        <w:spacing w:before="10"/>
        <w:rPr>
          <w:sz w:val="20"/>
        </w:rPr>
      </w:pPr>
    </w:p>
    <w:p w14:paraId="581991A5" w14:textId="77777777" w:rsidR="00516EC2" w:rsidRDefault="00FC2B69">
      <w:pPr>
        <w:pStyle w:val="BodyText"/>
        <w:ind w:left="136"/>
        <w:jc w:val="both"/>
      </w:pPr>
      <w:r>
        <w:t>U interesu je kandidata da prijava bude točna, temeljita i istinita.</w:t>
      </w:r>
    </w:p>
    <w:p w14:paraId="67F55C21" w14:textId="77777777" w:rsidR="00516EC2" w:rsidRDefault="00516EC2">
      <w:pPr>
        <w:pStyle w:val="BodyText"/>
        <w:spacing w:before="9"/>
        <w:rPr>
          <w:sz w:val="20"/>
        </w:rPr>
      </w:pPr>
    </w:p>
    <w:p w14:paraId="4ADC3B20" w14:textId="77777777" w:rsidR="00516EC2" w:rsidRDefault="00FC2B69">
      <w:pPr>
        <w:spacing w:before="1" w:line="242" w:lineRule="auto"/>
        <w:ind w:left="136" w:right="137"/>
        <w:jc w:val="both"/>
        <w:rPr>
          <w:b/>
        </w:rPr>
      </w:pPr>
      <w:r>
        <w:t xml:space="preserve">Nakon podnošenja elektroničke prijave kandidati će primiti e-poruku s potvrdom da je njihova prijava registrirana. </w:t>
      </w:r>
      <w:r>
        <w:rPr>
          <w:b/>
        </w:rPr>
        <w:t>Ako kandidati ne prime e-poruku s potvrdom o prijavi, to znači da njihova prijava nije registrirana.</w:t>
      </w:r>
    </w:p>
    <w:p w14:paraId="7DD50BFE" w14:textId="77777777" w:rsidR="00516EC2" w:rsidRDefault="00516EC2">
      <w:pPr>
        <w:pStyle w:val="BodyText"/>
        <w:spacing w:before="4"/>
        <w:rPr>
          <w:b/>
          <w:sz w:val="20"/>
        </w:rPr>
      </w:pPr>
    </w:p>
    <w:p w14:paraId="713A1983" w14:textId="77777777" w:rsidR="00516EC2" w:rsidRDefault="00FC2B69">
      <w:pPr>
        <w:pStyle w:val="BodyText"/>
        <w:ind w:left="136" w:right="133"/>
        <w:jc w:val="both"/>
      </w:pPr>
      <w:r>
        <w:t>Postupak obrade prijava nije moguće pratiti putem interneta. Europska komisija izravno će obavještavati kandidate o statusu njihove prijave.</w:t>
      </w:r>
    </w:p>
    <w:p w14:paraId="5CF1BBBC" w14:textId="77777777" w:rsidR="00516EC2" w:rsidRDefault="00516EC2">
      <w:pPr>
        <w:pStyle w:val="BodyText"/>
        <w:spacing w:before="10"/>
        <w:rPr>
          <w:sz w:val="20"/>
        </w:rPr>
      </w:pPr>
    </w:p>
    <w:p w14:paraId="40BC12F5" w14:textId="71113443" w:rsidR="00516EC2" w:rsidRDefault="00FC2B69">
      <w:pPr>
        <w:tabs>
          <w:tab w:val="left" w:pos="1839"/>
          <w:tab w:val="left" w:pos="3622"/>
          <w:tab w:val="left" w:pos="5078"/>
          <w:tab w:val="left" w:pos="6390"/>
          <w:tab w:val="left" w:pos="7506"/>
          <w:tab w:val="left" w:pos="8981"/>
        </w:tabs>
        <w:ind w:left="136" w:right="133"/>
        <w:jc w:val="both"/>
      </w:pPr>
      <w:r>
        <w:rPr>
          <w:b/>
        </w:rPr>
        <w:t xml:space="preserve">Prijave poslane e-poštom neće biti prihvaćene. </w:t>
      </w:r>
      <w:r>
        <w:t>Za dodatne informacije i/ili pomoć u slučaju tehničkih problema</w:t>
      </w:r>
      <w:r>
        <w:tab/>
        <w:t xml:space="preserve">pošaljite e-poruku na sljedeću adresu: </w:t>
      </w:r>
      <w:hyperlink r:id="rId10">
        <w:r>
          <w:rPr>
            <w:color w:val="0000FF"/>
            <w:u w:val="single" w:color="0000FF"/>
          </w:rPr>
          <w:t>HR-MANAGEMENT-ONLINE@ec.europa.eu</w:t>
        </w:r>
      </w:hyperlink>
    </w:p>
    <w:p w14:paraId="0A301DEB" w14:textId="77777777" w:rsidR="00516EC2" w:rsidRDefault="00516EC2">
      <w:pPr>
        <w:pStyle w:val="BodyText"/>
        <w:spacing w:before="10"/>
        <w:rPr>
          <w:sz w:val="12"/>
        </w:rPr>
      </w:pPr>
    </w:p>
    <w:p w14:paraId="72F87CD6" w14:textId="77777777" w:rsidR="00516EC2" w:rsidRDefault="00FC2B69">
      <w:pPr>
        <w:pStyle w:val="BodyText"/>
        <w:spacing w:before="92"/>
        <w:ind w:left="136" w:right="135"/>
        <w:jc w:val="both"/>
      </w:pPr>
      <w:r>
        <w:t xml:space="preserve">Kandidati moraju na vrijeme ispuniti elektroničku prijavu. Kandidatima preporučujemo da prijavu ne odgađaju do zadnjih dana prije isteka roka jer zbog povećanog prometa ili mogućih problema s internetskom vezom može doći do prekida registracijskog postupka, pa će ga morati ponoviti. Nakon </w:t>
      </w:r>
      <w:r>
        <w:lastRenderedPageBreak/>
        <w:t>isteka roka za prijavu unos podataka u elektronički obrazac više nije moguć. Zakašnjele prijave ne prihvaćaju se.</w:t>
      </w:r>
    </w:p>
    <w:p w14:paraId="41DA0DFC" w14:textId="77777777" w:rsidR="00516EC2" w:rsidRDefault="00516EC2">
      <w:pPr>
        <w:pStyle w:val="BodyText"/>
        <w:rPr>
          <w:sz w:val="24"/>
        </w:rPr>
      </w:pPr>
    </w:p>
    <w:p w14:paraId="65575A48" w14:textId="77777777" w:rsidR="00516EC2" w:rsidRDefault="00516EC2">
      <w:pPr>
        <w:pStyle w:val="BodyText"/>
        <w:rPr>
          <w:sz w:val="24"/>
        </w:rPr>
      </w:pPr>
    </w:p>
    <w:p w14:paraId="632F5EE9" w14:textId="77777777" w:rsidR="00516EC2" w:rsidRDefault="00FC2B69">
      <w:pPr>
        <w:pStyle w:val="Heading1"/>
        <w:spacing w:before="185"/>
        <w:jc w:val="both"/>
      </w:pPr>
      <w:r>
        <w:t>Rok za prijavu</w:t>
      </w:r>
    </w:p>
    <w:p w14:paraId="2B58F9EC" w14:textId="77777777" w:rsidR="00516EC2" w:rsidRDefault="00516EC2">
      <w:pPr>
        <w:pStyle w:val="BodyText"/>
        <w:spacing w:before="7"/>
        <w:rPr>
          <w:b/>
          <w:sz w:val="12"/>
        </w:rPr>
      </w:pPr>
    </w:p>
    <w:p w14:paraId="77902E89" w14:textId="691FCCEA" w:rsidR="00516EC2" w:rsidRPr="00513B8D" w:rsidRDefault="00FC2B69" w:rsidP="00513B8D">
      <w:pPr>
        <w:spacing w:before="92"/>
        <w:ind w:left="136"/>
      </w:pPr>
      <w:r>
        <w:t xml:space="preserve">Rok za prijavu </w:t>
      </w:r>
      <w:r>
        <w:rPr>
          <w:shd w:val="clear" w:color="auto" w:fill="FFFFFF" w:themeFill="background1"/>
        </w:rPr>
        <w:t xml:space="preserve">istječe </w:t>
      </w:r>
      <w:r>
        <w:rPr>
          <w:b/>
          <w:color w:val="000000"/>
          <w:shd w:val="clear" w:color="auto" w:fill="FFFFFF" w:themeFill="background1"/>
        </w:rPr>
        <w:t>26.6.2023. u 12 sati</w:t>
      </w:r>
      <w:r>
        <w:t xml:space="preserve"> </w:t>
      </w:r>
      <w:r>
        <w:rPr>
          <w:b/>
          <w:color w:val="000000"/>
        </w:rPr>
        <w:t>(podne) prema briselskom vremenu</w:t>
      </w:r>
      <w:r>
        <w:rPr>
          <w:color w:val="000000"/>
        </w:rPr>
        <w:t>, nakon čega se više neće biti moguće prijaviti.</w:t>
      </w:r>
    </w:p>
    <w:sectPr w:rsidR="00516EC2" w:rsidRPr="00513B8D">
      <w:headerReference w:type="even" r:id="rId11"/>
      <w:headerReference w:type="default" r:id="rId12"/>
      <w:footerReference w:type="even" r:id="rId13"/>
      <w:footerReference w:type="default" r:id="rId14"/>
      <w:headerReference w:type="first" r:id="rId15"/>
      <w:footerReference w:type="first" r:id="rId16"/>
      <w:pgSz w:w="11910" w:h="16840"/>
      <w:pgMar w:top="1320" w:right="1280" w:bottom="940" w:left="128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F8F7" w14:textId="77777777" w:rsidR="000A5527" w:rsidRDefault="000A5527">
      <w:r>
        <w:separator/>
      </w:r>
    </w:p>
  </w:endnote>
  <w:endnote w:type="continuationSeparator" w:id="0">
    <w:p w14:paraId="39B35871" w14:textId="77777777" w:rsidR="000A5527" w:rsidRDefault="000A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9F91" w14:textId="77777777" w:rsidR="00FC2B69" w:rsidRDefault="00FC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DF3A" w14:textId="3CCE1423" w:rsidR="00516EC2" w:rsidRDefault="00DC15F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7726EA0" wp14:editId="4888A27B">
              <wp:simplePos x="0" y="0"/>
              <wp:positionH relativeFrom="page">
                <wp:posOffset>3707130</wp:posOffset>
              </wp:positionH>
              <wp:positionV relativeFrom="page">
                <wp:posOffset>10071735</wp:posOffset>
              </wp:positionV>
              <wp:extent cx="159385" cy="1809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19D3E" w14:textId="36ABAC04" w:rsidR="00516EC2" w:rsidRDefault="00FC2B69">
                          <w:pPr>
                            <w:pStyle w:val="BodyText"/>
                            <w:spacing w:before="11"/>
                            <w:ind w:left="60"/>
                          </w:pPr>
                          <w:r>
                            <w:fldChar w:fldCharType="begin"/>
                          </w:r>
                          <w:r>
                            <w:instrText xml:space="preserve"> PAGE </w:instrText>
                          </w:r>
                          <w:r>
                            <w:fldChar w:fldCharType="separate"/>
                          </w:r>
                          <w:r w:rsidR="00F90B1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26EA0" id="_x0000_t202" coordsize="21600,21600" o:spt="202" path="m,l,21600r21600,l21600,xe">
              <v:stroke joinstyle="miter"/>
              <v:path gradientshapeok="t" o:connecttype="rect"/>
            </v:shapetype>
            <v:shape id="docshape1" o:spid="_x0000_s1026" type="#_x0000_t202" style="position:absolute;margin-left:291.9pt;margin-top:793.05pt;width:12.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" filled="f" stroked="f">
              <v:textbox inset="0,0,0,0">
                <w:txbxContent>
                  <w:p w14:paraId="34A19D3E" w14:textId="36ABAC04" w:rsidR="00516EC2" w:rsidRDefault="00FC2B69">
                    <w:pPr>
                      <w:pStyle w:val="BodyText"/>
                      <w:spacing w:before="11"/>
                      <w:ind w:left="60"/>
                    </w:pPr>
                    <w:r>
                      <w:fldChar w:fldCharType="begin"/>
                    </w:r>
                    <w:r>
                      <w:instrText xml:space="preserve"> PAGE </w:instrText>
                    </w:r>
                    <w:r>
                      <w:fldChar w:fldCharType="separate"/>
                    </w:r>
                    <w:r w:rsidR="00F90B1C">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A15D" w14:textId="77777777" w:rsidR="00FC2B69" w:rsidRDefault="00FC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695B" w14:textId="77777777" w:rsidR="000A5527" w:rsidRDefault="000A5527">
      <w:r>
        <w:separator/>
      </w:r>
    </w:p>
  </w:footnote>
  <w:footnote w:type="continuationSeparator" w:id="0">
    <w:p w14:paraId="57DB024A" w14:textId="77777777" w:rsidR="000A5527" w:rsidRDefault="000A5527">
      <w:r>
        <w:continuationSeparator/>
      </w:r>
    </w:p>
  </w:footnote>
  <w:footnote w:id="1">
    <w:p w14:paraId="2FE1A980" w14:textId="0A164C36" w:rsidR="00670FDC" w:rsidRPr="00670FDC" w:rsidRDefault="00670FDC">
      <w:pPr>
        <w:pStyle w:val="FootnoteText"/>
      </w:pPr>
      <w:r>
        <w:rPr>
          <w:rStyle w:val="FootnoteReference"/>
        </w:rPr>
        <w:footnoteRef/>
      </w:r>
      <w:r>
        <w:t xml:space="preserve"> Uredba (EU) 2022/2370 Europskog parlamenta i Vijeća od 23. studenoga 2022. o izmjeni Uredbe (EZ) br. 851/2004 o osnivanju Europskog centra za sprečavanje i kontrolu bolesti – SL L 314, 6.12.2022., str. 1.</w:t>
      </w:r>
    </w:p>
  </w:footnote>
  <w:footnote w:id="2">
    <w:p w14:paraId="6572E67A" w14:textId="5949AEF7" w:rsidR="00334459" w:rsidRPr="00D8298F" w:rsidRDefault="00334459">
      <w:pPr>
        <w:pStyle w:val="FootnoteText"/>
      </w:pPr>
      <w:r>
        <w:rPr>
          <w:rStyle w:val="FootnoteReference"/>
        </w:rPr>
        <w:footnoteRef/>
      </w:r>
      <w:r>
        <w:t xml:space="preserve"> </w:t>
      </w:r>
      <w:r>
        <w:rPr>
          <w:sz w:val="16"/>
        </w:rPr>
        <w:t>Radno iskustvo uzima se u obzir samo ako je riječ o stvarnom radnom odnosu definiranom kao stvarni, istinski rad plaćenog zaposlenika (sve vrste ugovora) ili pružatelja usluge. Rad koji se obavljao u nepunom radnom vremenu uračunava se razmjerno, na temelju potvrđenog postotka odrađenog punog radnog vremena. Rodiljni/roditeljski/posvojiteljski dopust uzima se u obzir ako je pokriven ugovorom o radu. Doktorski studij ubraja se u radno iskustvo čak i ako nije bio plaćen, ali u trajanju od najviše tri godine i pod uvjetom da je uspješno završen. Svako razdoblje uzima se u obzir samo jedanput.</w:t>
      </w:r>
    </w:p>
  </w:footnote>
  <w:footnote w:id="3">
    <w:p w14:paraId="766FA5BB" w14:textId="32A863ED" w:rsidR="00334459" w:rsidRPr="00334459" w:rsidRDefault="00334459" w:rsidP="00334459">
      <w:pPr>
        <w:tabs>
          <w:tab w:val="left" w:pos="419"/>
        </w:tabs>
        <w:spacing w:before="1"/>
      </w:pPr>
      <w:r>
        <w:rPr>
          <w:rStyle w:val="FootnoteReference"/>
        </w:rPr>
        <w:footnoteRef/>
      </w:r>
      <w:r>
        <w:t xml:space="preserve"> </w:t>
      </w:r>
      <w:r>
        <w:rPr>
          <w:sz w:val="16"/>
        </w:rPr>
        <w:t>Za sve godine rukovoditeljskog iskustva kandidati u životopisu moraju jasno navesti sljedeće: 1. naziv rukovoditeljskog radnog mjesta i dužnosti koje su obavljali; 2. broj podređenih zaposlenika; 3. proračunska sredstva kojima su upravljali; 4. broj nadređenih i podređenih hijerarhijskih razina; te 5. broj rukovoditelja iste razine.</w:t>
      </w:r>
    </w:p>
  </w:footnote>
  <w:footnote w:id="4">
    <w:p w14:paraId="0BDFAEE8" w14:textId="7B2D45F4" w:rsidR="00334459" w:rsidRPr="00334459" w:rsidRDefault="00334459" w:rsidP="00334459">
      <w:pPr>
        <w:tabs>
          <w:tab w:val="left" w:pos="419"/>
        </w:tabs>
        <w:spacing w:line="183" w:lineRule="exact"/>
      </w:pPr>
      <w:r>
        <w:rPr>
          <w:rStyle w:val="FootnoteReference"/>
        </w:rPr>
        <w:footnoteRef/>
      </w:r>
      <w:r>
        <w:t xml:space="preserve"> </w:t>
      </w:r>
      <w:hyperlink r:id="rId1">
        <w:r>
          <w:rPr>
            <w:color w:val="0000FF"/>
            <w:sz w:val="16"/>
            <w:u w:val="single" w:color="0000FF"/>
          </w:rPr>
          <w:t>https://eur-lex.europa.eu/legal-content/HR/TXT/?uri=CELEX%3A01958R0001-20130701</w:t>
        </w:r>
      </w:hyperlink>
    </w:p>
  </w:footnote>
  <w:footnote w:id="5">
    <w:p w14:paraId="02C6C2FA" w14:textId="4AA9376F" w:rsidR="00334459" w:rsidRPr="00334459" w:rsidRDefault="00334459">
      <w:pPr>
        <w:pStyle w:val="FootnoteText"/>
      </w:pPr>
      <w:r>
        <w:rPr>
          <w:rStyle w:val="FootnoteReference"/>
        </w:rPr>
        <w:footnoteRef/>
      </w:r>
      <w:r>
        <w:t xml:space="preserve"> </w:t>
      </w:r>
      <w:hyperlink r:id="rId2">
        <w:r>
          <w:rPr>
            <w:color w:val="0000FF"/>
            <w:sz w:val="16"/>
            <w:u w:val="single" w:color="0000FF"/>
          </w:rPr>
          <w:t>https://eur-lex.europa.eu/legal-content/HR/TXT/?uri=CELEX%3A01962R0031-20140701</w:t>
        </w:r>
      </w:hyperlink>
    </w:p>
  </w:footnote>
  <w:footnote w:id="6">
    <w:p w14:paraId="73043D34" w14:textId="6D591615" w:rsidR="00334459" w:rsidRPr="00334459" w:rsidRDefault="00334459">
      <w:pPr>
        <w:pStyle w:val="FootnoteText"/>
      </w:pPr>
      <w:r>
        <w:rPr>
          <w:rStyle w:val="FootnoteReference"/>
        </w:rPr>
        <w:footnoteRef/>
      </w:r>
      <w:r>
        <w:t xml:space="preserve"> </w:t>
      </w:r>
      <w:hyperlink r:id="rId3" w:anchor="vacancies">
        <w:r>
          <w:rPr>
            <w:color w:val="0000FF"/>
            <w:sz w:val="16"/>
            <w:u w:val="single" w:color="0000FF"/>
          </w:rPr>
          <w:t>https://commission.europa.eu/jobs-european-commission/job-opportunities/managers-european-commission_en#vacancies</w:t>
        </w:r>
      </w:hyperlink>
      <w:r>
        <w:rPr>
          <w:color w:val="0000FF"/>
          <w:sz w:val="16"/>
        </w:rPr>
        <w:t xml:space="preserve"> </w:t>
      </w:r>
      <w:r>
        <w:rPr>
          <w:sz w:val="16"/>
        </w:rPr>
        <w:t>(samo na engleskom jeziku)</w:t>
      </w:r>
    </w:p>
  </w:footnote>
  <w:footnote w:id="7">
    <w:p w14:paraId="6F899E39" w14:textId="3F364445" w:rsidR="00334459" w:rsidRPr="00334459" w:rsidRDefault="00334459">
      <w:pPr>
        <w:pStyle w:val="FootnoteText"/>
      </w:pPr>
      <w:r>
        <w:rPr>
          <w:rStyle w:val="FootnoteReference"/>
        </w:rPr>
        <w:footnoteRef/>
      </w:r>
      <w:r>
        <w:t xml:space="preserve"> </w:t>
      </w:r>
      <w:hyperlink r:id="rId4" w:history="1">
        <w:r>
          <w:rPr>
            <w:rStyle w:val="Hyperlink"/>
            <w:sz w:val="16"/>
          </w:rPr>
          <w:t>https://eur-lex.europa.eu/legal-content/HR/TXT/?uri=CELEX%3A01962R0031-20140701</w:t>
        </w:r>
      </w:hyperlink>
      <w:r>
        <w:rPr>
          <w:sz w:val="16"/>
        </w:rPr>
        <w:t xml:space="preserve"> </w:t>
      </w:r>
    </w:p>
  </w:footnote>
  <w:footnote w:id="8">
    <w:p w14:paraId="68435BD0" w14:textId="162412CC" w:rsidR="00A90EE1" w:rsidRPr="00A90EE1" w:rsidRDefault="00A90EE1">
      <w:pPr>
        <w:pStyle w:val="FootnoteText"/>
      </w:pPr>
      <w:r>
        <w:rPr>
          <w:rStyle w:val="FootnoteReference"/>
        </w:rPr>
        <w:footnoteRef/>
      </w:r>
      <w:r>
        <w:t xml:space="preserve"> </w:t>
      </w:r>
      <w:r>
        <w:rPr>
          <w:sz w:val="16"/>
        </w:rPr>
        <w:t>Od 1. srpnja 2022. koeficijent ispravka koji se primjenjuje na primitke od rada i mirovine dužnosnika i ostalih službenika Europske unije za Švedsku iznosi 124,9 %. Taj koeficijent podliježe godišnjoj reviziji.</w:t>
      </w:r>
    </w:p>
  </w:footnote>
  <w:footnote w:id="9">
    <w:p w14:paraId="5734DCCF" w14:textId="1FA15956" w:rsidR="00513B8D" w:rsidRPr="00513B8D" w:rsidRDefault="00513B8D" w:rsidP="00513B8D">
      <w:pPr>
        <w:ind w:right="191"/>
      </w:pPr>
      <w:r>
        <w:rPr>
          <w:rStyle w:val="FootnoteReference"/>
        </w:rPr>
        <w:footnoteRef/>
      </w:r>
      <w:r>
        <w:t xml:space="preserve"> </w:t>
      </w:r>
      <w:r>
        <w:rPr>
          <w:sz w:val="16"/>
        </w:rPr>
        <w:t>Uredba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(SL L 295, 21.11.2018., str. 39.)</w:t>
      </w:r>
    </w:p>
  </w:footnote>
  <w:footnote w:id="10">
    <w:p w14:paraId="179B3D9F" w14:textId="77E5F5CF" w:rsidR="00513B8D" w:rsidRPr="00513B8D" w:rsidRDefault="00513B8D" w:rsidP="00513B8D">
      <w:pPr>
        <w:spacing w:before="95"/>
        <w:ind w:left="136"/>
        <w:rPr>
          <w:sz w:val="16"/>
        </w:rPr>
      </w:pPr>
      <w:r>
        <w:rPr>
          <w:rStyle w:val="FootnoteReference"/>
        </w:rPr>
        <w:footnoteRef/>
      </w:r>
      <w:r>
        <w:t xml:space="preserve"> </w:t>
      </w:r>
      <w:r>
        <w:rPr>
          <w:sz w:val="16"/>
        </w:rPr>
        <w:t xml:space="preserve">Upute za izradu životopisa Europass mogu se pronaći na: </w:t>
      </w:r>
      <w:hyperlink r:id="rId5">
        <w:r>
          <w:rPr>
            <w:color w:val="0000FF"/>
            <w:sz w:val="16"/>
            <w:u w:val="single" w:color="0000FF"/>
          </w:rPr>
          <w:t>https://europa.eu/europass/en/create-europass-cv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66E" w14:textId="77777777" w:rsidR="00FC2B69" w:rsidRDefault="00FC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00C2" w14:textId="77777777" w:rsidR="00FC2B69" w:rsidRDefault="00FC2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FEB6" w14:textId="77777777" w:rsidR="00FC2B69" w:rsidRDefault="00FC2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1E49"/>
    <w:multiLevelType w:val="hybridMultilevel"/>
    <w:tmpl w:val="2B56FD7A"/>
    <w:lvl w:ilvl="0" w:tplc="BE7C19C8">
      <w:numFmt w:val="bullet"/>
      <w:lvlText w:val=""/>
      <w:lvlJc w:val="left"/>
      <w:pPr>
        <w:ind w:left="856" w:hanging="360"/>
      </w:pPr>
      <w:rPr>
        <w:rFonts w:ascii="Symbol" w:eastAsia="Symbol" w:hAnsi="Symbol" w:cs="Symbol" w:hint="default"/>
        <w:b w:val="0"/>
        <w:bCs w:val="0"/>
        <w:i w:val="0"/>
        <w:iCs w:val="0"/>
        <w:w w:val="100"/>
        <w:sz w:val="22"/>
        <w:szCs w:val="22"/>
        <w:lang w:val="en-US" w:eastAsia="en-US" w:bidi="ar-SA"/>
      </w:rPr>
    </w:lvl>
    <w:lvl w:ilvl="1" w:tplc="55F8844C">
      <w:numFmt w:val="bullet"/>
      <w:lvlText w:val="•"/>
      <w:lvlJc w:val="left"/>
      <w:pPr>
        <w:ind w:left="1708" w:hanging="360"/>
      </w:pPr>
      <w:rPr>
        <w:rFonts w:hint="default"/>
        <w:lang w:val="en-US" w:eastAsia="en-US" w:bidi="ar-SA"/>
      </w:rPr>
    </w:lvl>
    <w:lvl w:ilvl="2" w:tplc="C220BDB2">
      <w:numFmt w:val="bullet"/>
      <w:lvlText w:val="•"/>
      <w:lvlJc w:val="left"/>
      <w:pPr>
        <w:ind w:left="2557" w:hanging="360"/>
      </w:pPr>
      <w:rPr>
        <w:rFonts w:hint="default"/>
        <w:lang w:val="en-US" w:eastAsia="en-US" w:bidi="ar-SA"/>
      </w:rPr>
    </w:lvl>
    <w:lvl w:ilvl="3" w:tplc="DC681758">
      <w:numFmt w:val="bullet"/>
      <w:lvlText w:val="•"/>
      <w:lvlJc w:val="left"/>
      <w:pPr>
        <w:ind w:left="3405" w:hanging="360"/>
      </w:pPr>
      <w:rPr>
        <w:rFonts w:hint="default"/>
        <w:lang w:val="en-US" w:eastAsia="en-US" w:bidi="ar-SA"/>
      </w:rPr>
    </w:lvl>
    <w:lvl w:ilvl="4" w:tplc="CA06C912">
      <w:numFmt w:val="bullet"/>
      <w:lvlText w:val="•"/>
      <w:lvlJc w:val="left"/>
      <w:pPr>
        <w:ind w:left="4254" w:hanging="360"/>
      </w:pPr>
      <w:rPr>
        <w:rFonts w:hint="default"/>
        <w:lang w:val="en-US" w:eastAsia="en-US" w:bidi="ar-SA"/>
      </w:rPr>
    </w:lvl>
    <w:lvl w:ilvl="5" w:tplc="35BCD63E">
      <w:numFmt w:val="bullet"/>
      <w:lvlText w:val="•"/>
      <w:lvlJc w:val="left"/>
      <w:pPr>
        <w:ind w:left="5103" w:hanging="360"/>
      </w:pPr>
      <w:rPr>
        <w:rFonts w:hint="default"/>
        <w:lang w:val="en-US" w:eastAsia="en-US" w:bidi="ar-SA"/>
      </w:rPr>
    </w:lvl>
    <w:lvl w:ilvl="6" w:tplc="C3AAE442">
      <w:numFmt w:val="bullet"/>
      <w:lvlText w:val="•"/>
      <w:lvlJc w:val="left"/>
      <w:pPr>
        <w:ind w:left="5951" w:hanging="360"/>
      </w:pPr>
      <w:rPr>
        <w:rFonts w:hint="default"/>
        <w:lang w:val="en-US" w:eastAsia="en-US" w:bidi="ar-SA"/>
      </w:rPr>
    </w:lvl>
    <w:lvl w:ilvl="7" w:tplc="3DB235CA">
      <w:numFmt w:val="bullet"/>
      <w:lvlText w:val="•"/>
      <w:lvlJc w:val="left"/>
      <w:pPr>
        <w:ind w:left="6800" w:hanging="360"/>
      </w:pPr>
      <w:rPr>
        <w:rFonts w:hint="default"/>
        <w:lang w:val="en-US" w:eastAsia="en-US" w:bidi="ar-SA"/>
      </w:rPr>
    </w:lvl>
    <w:lvl w:ilvl="8" w:tplc="F03E3C38">
      <w:numFmt w:val="bullet"/>
      <w:lvlText w:val="•"/>
      <w:lvlJc w:val="left"/>
      <w:pPr>
        <w:ind w:left="7649" w:hanging="360"/>
      </w:pPr>
      <w:rPr>
        <w:rFonts w:hint="default"/>
        <w:lang w:val="en-US" w:eastAsia="en-US" w:bidi="ar-SA"/>
      </w:rPr>
    </w:lvl>
  </w:abstractNum>
  <w:abstractNum w:abstractNumId="1" w15:restartNumberingAfterBreak="0">
    <w:nsid w:val="4E3923D2"/>
    <w:multiLevelType w:val="hybridMultilevel"/>
    <w:tmpl w:val="F4AAA228"/>
    <w:lvl w:ilvl="0" w:tplc="49F0D70C">
      <w:start w:val="1"/>
      <w:numFmt w:val="lowerLetter"/>
      <w:lvlText w:val="%1)"/>
      <w:lvlJc w:val="left"/>
      <w:pPr>
        <w:ind w:left="856" w:hanging="360"/>
      </w:pPr>
      <w:rPr>
        <w:rFonts w:ascii="Times New Roman" w:eastAsia="Times New Roman" w:hAnsi="Times New Roman" w:cs="Times New Roman" w:hint="default"/>
        <w:b w:val="0"/>
        <w:bCs w:val="0"/>
        <w:i w:val="0"/>
        <w:iCs w:val="0"/>
        <w:w w:val="100"/>
        <w:sz w:val="22"/>
        <w:szCs w:val="22"/>
        <w:lang w:val="en-US" w:eastAsia="en-US" w:bidi="ar-SA"/>
      </w:rPr>
    </w:lvl>
    <w:lvl w:ilvl="1" w:tplc="A420012A">
      <w:numFmt w:val="bullet"/>
      <w:lvlText w:val="•"/>
      <w:lvlJc w:val="left"/>
      <w:pPr>
        <w:ind w:left="1708" w:hanging="360"/>
      </w:pPr>
      <w:rPr>
        <w:rFonts w:hint="default"/>
        <w:lang w:val="en-US" w:eastAsia="en-US" w:bidi="ar-SA"/>
      </w:rPr>
    </w:lvl>
    <w:lvl w:ilvl="2" w:tplc="2864D232">
      <w:numFmt w:val="bullet"/>
      <w:lvlText w:val="•"/>
      <w:lvlJc w:val="left"/>
      <w:pPr>
        <w:ind w:left="2557" w:hanging="360"/>
      </w:pPr>
      <w:rPr>
        <w:rFonts w:hint="default"/>
        <w:lang w:val="en-US" w:eastAsia="en-US" w:bidi="ar-SA"/>
      </w:rPr>
    </w:lvl>
    <w:lvl w:ilvl="3" w:tplc="6B5296A4">
      <w:numFmt w:val="bullet"/>
      <w:lvlText w:val="•"/>
      <w:lvlJc w:val="left"/>
      <w:pPr>
        <w:ind w:left="3405" w:hanging="360"/>
      </w:pPr>
      <w:rPr>
        <w:rFonts w:hint="default"/>
        <w:lang w:val="en-US" w:eastAsia="en-US" w:bidi="ar-SA"/>
      </w:rPr>
    </w:lvl>
    <w:lvl w:ilvl="4" w:tplc="9E2A4E22">
      <w:numFmt w:val="bullet"/>
      <w:lvlText w:val="•"/>
      <w:lvlJc w:val="left"/>
      <w:pPr>
        <w:ind w:left="4254" w:hanging="360"/>
      </w:pPr>
      <w:rPr>
        <w:rFonts w:hint="default"/>
        <w:lang w:val="en-US" w:eastAsia="en-US" w:bidi="ar-SA"/>
      </w:rPr>
    </w:lvl>
    <w:lvl w:ilvl="5" w:tplc="F3ACB5AE">
      <w:numFmt w:val="bullet"/>
      <w:lvlText w:val="•"/>
      <w:lvlJc w:val="left"/>
      <w:pPr>
        <w:ind w:left="5103" w:hanging="360"/>
      </w:pPr>
      <w:rPr>
        <w:rFonts w:hint="default"/>
        <w:lang w:val="en-US" w:eastAsia="en-US" w:bidi="ar-SA"/>
      </w:rPr>
    </w:lvl>
    <w:lvl w:ilvl="6" w:tplc="8D021126">
      <w:numFmt w:val="bullet"/>
      <w:lvlText w:val="•"/>
      <w:lvlJc w:val="left"/>
      <w:pPr>
        <w:ind w:left="5951" w:hanging="360"/>
      </w:pPr>
      <w:rPr>
        <w:rFonts w:hint="default"/>
        <w:lang w:val="en-US" w:eastAsia="en-US" w:bidi="ar-SA"/>
      </w:rPr>
    </w:lvl>
    <w:lvl w:ilvl="7" w:tplc="3CA2826E">
      <w:numFmt w:val="bullet"/>
      <w:lvlText w:val="•"/>
      <w:lvlJc w:val="left"/>
      <w:pPr>
        <w:ind w:left="6800" w:hanging="360"/>
      </w:pPr>
      <w:rPr>
        <w:rFonts w:hint="default"/>
        <w:lang w:val="en-US" w:eastAsia="en-US" w:bidi="ar-SA"/>
      </w:rPr>
    </w:lvl>
    <w:lvl w:ilvl="8" w:tplc="5636AE6C">
      <w:numFmt w:val="bullet"/>
      <w:lvlText w:val="•"/>
      <w:lvlJc w:val="left"/>
      <w:pPr>
        <w:ind w:left="7649" w:hanging="360"/>
      </w:pPr>
      <w:rPr>
        <w:rFonts w:hint="default"/>
        <w:lang w:val="en-US" w:eastAsia="en-US" w:bidi="ar-SA"/>
      </w:rPr>
    </w:lvl>
  </w:abstractNum>
  <w:abstractNum w:abstractNumId="2" w15:restartNumberingAfterBreak="0">
    <w:nsid w:val="593E6DBB"/>
    <w:multiLevelType w:val="hybridMultilevel"/>
    <w:tmpl w:val="D56ABF80"/>
    <w:lvl w:ilvl="0" w:tplc="10947E0E">
      <w:numFmt w:val="bullet"/>
      <w:lvlText w:val=""/>
      <w:lvlJc w:val="left"/>
      <w:pPr>
        <w:ind w:left="496" w:hanging="360"/>
      </w:pPr>
      <w:rPr>
        <w:rFonts w:ascii="Symbol" w:eastAsia="Symbol" w:hAnsi="Symbol" w:cs="Symbol" w:hint="default"/>
        <w:b w:val="0"/>
        <w:bCs w:val="0"/>
        <w:i w:val="0"/>
        <w:iCs w:val="0"/>
        <w:w w:val="100"/>
        <w:sz w:val="22"/>
        <w:szCs w:val="22"/>
        <w:lang w:val="en-US" w:eastAsia="en-US" w:bidi="ar-SA"/>
      </w:rPr>
    </w:lvl>
    <w:lvl w:ilvl="1" w:tplc="524EE518">
      <w:numFmt w:val="bullet"/>
      <w:lvlText w:val="•"/>
      <w:lvlJc w:val="left"/>
      <w:pPr>
        <w:ind w:left="1384" w:hanging="360"/>
      </w:pPr>
      <w:rPr>
        <w:rFonts w:hint="default"/>
        <w:lang w:val="en-US" w:eastAsia="en-US" w:bidi="ar-SA"/>
      </w:rPr>
    </w:lvl>
    <w:lvl w:ilvl="2" w:tplc="539612AA">
      <w:numFmt w:val="bullet"/>
      <w:lvlText w:val="•"/>
      <w:lvlJc w:val="left"/>
      <w:pPr>
        <w:ind w:left="2269" w:hanging="360"/>
      </w:pPr>
      <w:rPr>
        <w:rFonts w:hint="default"/>
        <w:lang w:val="en-US" w:eastAsia="en-US" w:bidi="ar-SA"/>
      </w:rPr>
    </w:lvl>
    <w:lvl w:ilvl="3" w:tplc="896EA2F6">
      <w:numFmt w:val="bullet"/>
      <w:lvlText w:val="•"/>
      <w:lvlJc w:val="left"/>
      <w:pPr>
        <w:ind w:left="3153" w:hanging="360"/>
      </w:pPr>
      <w:rPr>
        <w:rFonts w:hint="default"/>
        <w:lang w:val="en-US" w:eastAsia="en-US" w:bidi="ar-SA"/>
      </w:rPr>
    </w:lvl>
    <w:lvl w:ilvl="4" w:tplc="3944320E">
      <w:numFmt w:val="bullet"/>
      <w:lvlText w:val="•"/>
      <w:lvlJc w:val="left"/>
      <w:pPr>
        <w:ind w:left="4038" w:hanging="360"/>
      </w:pPr>
      <w:rPr>
        <w:rFonts w:hint="default"/>
        <w:lang w:val="en-US" w:eastAsia="en-US" w:bidi="ar-SA"/>
      </w:rPr>
    </w:lvl>
    <w:lvl w:ilvl="5" w:tplc="BCC0915E">
      <w:numFmt w:val="bullet"/>
      <w:lvlText w:val="•"/>
      <w:lvlJc w:val="left"/>
      <w:pPr>
        <w:ind w:left="4923" w:hanging="360"/>
      </w:pPr>
      <w:rPr>
        <w:rFonts w:hint="default"/>
        <w:lang w:val="en-US" w:eastAsia="en-US" w:bidi="ar-SA"/>
      </w:rPr>
    </w:lvl>
    <w:lvl w:ilvl="6" w:tplc="2D2693B6">
      <w:numFmt w:val="bullet"/>
      <w:lvlText w:val="•"/>
      <w:lvlJc w:val="left"/>
      <w:pPr>
        <w:ind w:left="5807" w:hanging="360"/>
      </w:pPr>
      <w:rPr>
        <w:rFonts w:hint="default"/>
        <w:lang w:val="en-US" w:eastAsia="en-US" w:bidi="ar-SA"/>
      </w:rPr>
    </w:lvl>
    <w:lvl w:ilvl="7" w:tplc="23861C02">
      <w:numFmt w:val="bullet"/>
      <w:lvlText w:val="•"/>
      <w:lvlJc w:val="left"/>
      <w:pPr>
        <w:ind w:left="6692" w:hanging="360"/>
      </w:pPr>
      <w:rPr>
        <w:rFonts w:hint="default"/>
        <w:lang w:val="en-US" w:eastAsia="en-US" w:bidi="ar-SA"/>
      </w:rPr>
    </w:lvl>
    <w:lvl w:ilvl="8" w:tplc="FA08AE72">
      <w:numFmt w:val="bullet"/>
      <w:lvlText w:val="•"/>
      <w:lvlJc w:val="left"/>
      <w:pPr>
        <w:ind w:left="7577" w:hanging="360"/>
      </w:pPr>
      <w:rPr>
        <w:rFonts w:hint="default"/>
        <w:lang w:val="en-US" w:eastAsia="en-US" w:bidi="ar-SA"/>
      </w:rPr>
    </w:lvl>
  </w:abstractNum>
  <w:abstractNum w:abstractNumId="3" w15:restartNumberingAfterBreak="0">
    <w:nsid w:val="5D5B461F"/>
    <w:multiLevelType w:val="hybridMultilevel"/>
    <w:tmpl w:val="CE3C756C"/>
    <w:lvl w:ilvl="0" w:tplc="47C6E09C">
      <w:numFmt w:val="bullet"/>
      <w:lvlText w:val=""/>
      <w:lvlJc w:val="left"/>
      <w:pPr>
        <w:ind w:left="419" w:hanging="284"/>
      </w:pPr>
      <w:rPr>
        <w:rFonts w:ascii="Symbol" w:eastAsia="Symbol" w:hAnsi="Symbol" w:cs="Symbol" w:hint="default"/>
        <w:b w:val="0"/>
        <w:bCs w:val="0"/>
        <w:i w:val="0"/>
        <w:iCs w:val="0"/>
        <w:w w:val="100"/>
        <w:sz w:val="22"/>
        <w:szCs w:val="22"/>
        <w:lang w:val="en-US" w:eastAsia="en-US" w:bidi="ar-SA"/>
      </w:rPr>
    </w:lvl>
    <w:lvl w:ilvl="1" w:tplc="4A50423C">
      <w:numFmt w:val="bullet"/>
      <w:lvlText w:val="-"/>
      <w:lvlJc w:val="left"/>
      <w:pPr>
        <w:ind w:left="705" w:hanging="286"/>
      </w:pPr>
      <w:rPr>
        <w:rFonts w:ascii="Times New Roman" w:eastAsia="Times New Roman" w:hAnsi="Times New Roman" w:cs="Times New Roman" w:hint="default"/>
        <w:b w:val="0"/>
        <w:bCs w:val="0"/>
        <w:i w:val="0"/>
        <w:iCs w:val="0"/>
        <w:w w:val="100"/>
        <w:sz w:val="22"/>
        <w:szCs w:val="22"/>
        <w:lang w:val="en-US" w:eastAsia="en-US" w:bidi="ar-SA"/>
      </w:rPr>
    </w:lvl>
    <w:lvl w:ilvl="2" w:tplc="56A8E864">
      <w:numFmt w:val="bullet"/>
      <w:lvlText w:val="•"/>
      <w:lvlJc w:val="left"/>
      <w:pPr>
        <w:ind w:left="1660" w:hanging="286"/>
      </w:pPr>
      <w:rPr>
        <w:rFonts w:hint="default"/>
        <w:lang w:val="en-US" w:eastAsia="en-US" w:bidi="ar-SA"/>
      </w:rPr>
    </w:lvl>
    <w:lvl w:ilvl="3" w:tplc="F67ED732">
      <w:numFmt w:val="bullet"/>
      <w:lvlText w:val="•"/>
      <w:lvlJc w:val="left"/>
      <w:pPr>
        <w:ind w:left="2621" w:hanging="286"/>
      </w:pPr>
      <w:rPr>
        <w:rFonts w:hint="default"/>
        <w:lang w:val="en-US" w:eastAsia="en-US" w:bidi="ar-SA"/>
      </w:rPr>
    </w:lvl>
    <w:lvl w:ilvl="4" w:tplc="41CC7D38">
      <w:numFmt w:val="bullet"/>
      <w:lvlText w:val="•"/>
      <w:lvlJc w:val="left"/>
      <w:pPr>
        <w:ind w:left="3582" w:hanging="286"/>
      </w:pPr>
      <w:rPr>
        <w:rFonts w:hint="default"/>
        <w:lang w:val="en-US" w:eastAsia="en-US" w:bidi="ar-SA"/>
      </w:rPr>
    </w:lvl>
    <w:lvl w:ilvl="5" w:tplc="751C3B88">
      <w:numFmt w:val="bullet"/>
      <w:lvlText w:val="•"/>
      <w:lvlJc w:val="left"/>
      <w:pPr>
        <w:ind w:left="4542" w:hanging="286"/>
      </w:pPr>
      <w:rPr>
        <w:rFonts w:hint="default"/>
        <w:lang w:val="en-US" w:eastAsia="en-US" w:bidi="ar-SA"/>
      </w:rPr>
    </w:lvl>
    <w:lvl w:ilvl="6" w:tplc="4A2270A6">
      <w:numFmt w:val="bullet"/>
      <w:lvlText w:val="•"/>
      <w:lvlJc w:val="left"/>
      <w:pPr>
        <w:ind w:left="5503" w:hanging="286"/>
      </w:pPr>
      <w:rPr>
        <w:rFonts w:hint="default"/>
        <w:lang w:val="en-US" w:eastAsia="en-US" w:bidi="ar-SA"/>
      </w:rPr>
    </w:lvl>
    <w:lvl w:ilvl="7" w:tplc="2C4EFAC2">
      <w:numFmt w:val="bullet"/>
      <w:lvlText w:val="•"/>
      <w:lvlJc w:val="left"/>
      <w:pPr>
        <w:ind w:left="6464" w:hanging="286"/>
      </w:pPr>
      <w:rPr>
        <w:rFonts w:hint="default"/>
        <w:lang w:val="en-US" w:eastAsia="en-US" w:bidi="ar-SA"/>
      </w:rPr>
    </w:lvl>
    <w:lvl w:ilvl="8" w:tplc="69E28A2A">
      <w:numFmt w:val="bullet"/>
      <w:lvlText w:val="•"/>
      <w:lvlJc w:val="left"/>
      <w:pPr>
        <w:ind w:left="7424" w:hanging="286"/>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16EC2"/>
    <w:rsid w:val="000A5527"/>
    <w:rsid w:val="00171339"/>
    <w:rsid w:val="00334459"/>
    <w:rsid w:val="003B4F1B"/>
    <w:rsid w:val="004A6093"/>
    <w:rsid w:val="00513B8D"/>
    <w:rsid w:val="00516EC2"/>
    <w:rsid w:val="00670FDC"/>
    <w:rsid w:val="007745B7"/>
    <w:rsid w:val="0082786B"/>
    <w:rsid w:val="00867511"/>
    <w:rsid w:val="00977AA6"/>
    <w:rsid w:val="009C0ADA"/>
    <w:rsid w:val="00A90EE1"/>
    <w:rsid w:val="00B45D7C"/>
    <w:rsid w:val="00C73821"/>
    <w:rsid w:val="00D36E83"/>
    <w:rsid w:val="00D81EE0"/>
    <w:rsid w:val="00D8298F"/>
    <w:rsid w:val="00DC15F3"/>
    <w:rsid w:val="00F46473"/>
    <w:rsid w:val="00F469C9"/>
    <w:rsid w:val="00F869D2"/>
    <w:rsid w:val="00F90B1C"/>
    <w:rsid w:val="00FC2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97F1F"/>
  <w15:docId w15:val="{BF85BDBC-0CA0-4CA0-B6F7-5C69532C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2B69"/>
    <w:pPr>
      <w:tabs>
        <w:tab w:val="center" w:pos="4513"/>
        <w:tab w:val="right" w:pos="9026"/>
      </w:tabs>
    </w:pPr>
  </w:style>
  <w:style w:type="character" w:customStyle="1" w:styleId="HeaderChar">
    <w:name w:val="Header Char"/>
    <w:basedOn w:val="DefaultParagraphFont"/>
    <w:link w:val="Header"/>
    <w:uiPriority w:val="99"/>
    <w:rsid w:val="00FC2B69"/>
    <w:rPr>
      <w:rFonts w:ascii="Times New Roman" w:eastAsia="Times New Roman" w:hAnsi="Times New Roman" w:cs="Times New Roman"/>
    </w:rPr>
  </w:style>
  <w:style w:type="paragraph" w:styleId="Footer">
    <w:name w:val="footer"/>
    <w:basedOn w:val="Normal"/>
    <w:link w:val="FooterChar"/>
    <w:uiPriority w:val="99"/>
    <w:unhideWhenUsed/>
    <w:rsid w:val="00FC2B69"/>
    <w:pPr>
      <w:tabs>
        <w:tab w:val="center" w:pos="4513"/>
        <w:tab w:val="right" w:pos="9026"/>
      </w:tabs>
    </w:pPr>
  </w:style>
  <w:style w:type="character" w:customStyle="1" w:styleId="FooterChar">
    <w:name w:val="Footer Char"/>
    <w:basedOn w:val="DefaultParagraphFont"/>
    <w:link w:val="Footer"/>
    <w:uiPriority w:val="99"/>
    <w:rsid w:val="00FC2B69"/>
    <w:rPr>
      <w:rFonts w:ascii="Times New Roman" w:eastAsia="Times New Roman" w:hAnsi="Times New Roman" w:cs="Times New Roman"/>
    </w:rPr>
  </w:style>
  <w:style w:type="paragraph" w:styleId="Revision">
    <w:name w:val="Revision"/>
    <w:hidden/>
    <w:uiPriority w:val="99"/>
    <w:semiHidden/>
    <w:rsid w:val="004A6093"/>
    <w:pPr>
      <w:widowControl/>
      <w:autoSpaceDE/>
      <w:autoSpaceDN/>
    </w:pPr>
    <w:rPr>
      <w:rFonts w:ascii="Times New Roman" w:eastAsia="Times New Roman" w:hAnsi="Times New Roman" w:cs="Times New Roman"/>
    </w:rPr>
  </w:style>
  <w:style w:type="paragraph" w:customStyle="1" w:styleId="oj-doc-ti">
    <w:name w:val="oj-doc-ti"/>
    <w:basedOn w:val="Normal"/>
    <w:rsid w:val="004A6093"/>
    <w:pPr>
      <w:widowControl/>
      <w:autoSpaceDE/>
      <w:autoSpaceDN/>
      <w:spacing w:before="100" w:beforeAutospacing="1" w:after="100" w:afterAutospacing="1"/>
    </w:pPr>
    <w:rPr>
      <w:sz w:val="24"/>
      <w:szCs w:val="24"/>
      <w:lang w:eastAsia="en-IE"/>
    </w:rPr>
  </w:style>
  <w:style w:type="character" w:styleId="Emphasis">
    <w:name w:val="Emphasis"/>
    <w:basedOn w:val="DefaultParagraphFont"/>
    <w:uiPriority w:val="20"/>
    <w:qFormat/>
    <w:rsid w:val="004A6093"/>
    <w:rPr>
      <w:i/>
      <w:iCs/>
    </w:rPr>
  </w:style>
  <w:style w:type="character" w:styleId="CommentReference">
    <w:name w:val="annotation reference"/>
    <w:basedOn w:val="DefaultParagraphFont"/>
    <w:uiPriority w:val="99"/>
    <w:semiHidden/>
    <w:unhideWhenUsed/>
    <w:rsid w:val="009C0ADA"/>
    <w:rPr>
      <w:sz w:val="16"/>
      <w:szCs w:val="16"/>
    </w:rPr>
  </w:style>
  <w:style w:type="paragraph" w:styleId="CommentText">
    <w:name w:val="annotation text"/>
    <w:basedOn w:val="Normal"/>
    <w:link w:val="CommentTextChar"/>
    <w:uiPriority w:val="99"/>
    <w:semiHidden/>
    <w:unhideWhenUsed/>
    <w:rsid w:val="009C0ADA"/>
    <w:rPr>
      <w:sz w:val="20"/>
      <w:szCs w:val="20"/>
    </w:rPr>
  </w:style>
  <w:style w:type="character" w:customStyle="1" w:styleId="CommentTextChar">
    <w:name w:val="Comment Text Char"/>
    <w:basedOn w:val="DefaultParagraphFont"/>
    <w:link w:val="CommentText"/>
    <w:uiPriority w:val="99"/>
    <w:semiHidden/>
    <w:rsid w:val="009C0A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ADA"/>
    <w:rPr>
      <w:b/>
      <w:bCs/>
    </w:rPr>
  </w:style>
  <w:style w:type="character" w:customStyle="1" w:styleId="CommentSubjectChar">
    <w:name w:val="Comment Subject Char"/>
    <w:basedOn w:val="CommentTextChar"/>
    <w:link w:val="CommentSubject"/>
    <w:uiPriority w:val="99"/>
    <w:semiHidden/>
    <w:rsid w:val="009C0AD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70FDC"/>
    <w:rPr>
      <w:sz w:val="20"/>
      <w:szCs w:val="20"/>
    </w:rPr>
  </w:style>
  <w:style w:type="character" w:customStyle="1" w:styleId="FootnoteTextChar">
    <w:name w:val="Footnote Text Char"/>
    <w:basedOn w:val="DefaultParagraphFont"/>
    <w:link w:val="FootnoteText"/>
    <w:uiPriority w:val="99"/>
    <w:semiHidden/>
    <w:rsid w:val="00670F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70FDC"/>
    <w:rPr>
      <w:vertAlign w:val="superscript"/>
    </w:rPr>
  </w:style>
  <w:style w:type="paragraph" w:styleId="PlainText">
    <w:name w:val="Plain Text"/>
    <w:basedOn w:val="Normal"/>
    <w:link w:val="PlainTextChar"/>
    <w:uiPriority w:val="99"/>
    <w:unhideWhenUsed/>
    <w:rsid w:val="00334459"/>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34459"/>
    <w:rPr>
      <w:rFonts w:ascii="Calibri" w:hAnsi="Calibri"/>
      <w:szCs w:val="21"/>
      <w:lang w:val="hr-HR"/>
    </w:rPr>
  </w:style>
  <w:style w:type="character" w:styleId="Hyperlink">
    <w:name w:val="Hyperlink"/>
    <w:basedOn w:val="DefaultParagraphFont"/>
    <w:uiPriority w:val="99"/>
    <w:unhideWhenUsed/>
    <w:rsid w:val="00334459"/>
    <w:rPr>
      <w:color w:val="0000FF" w:themeColor="hyperlink"/>
      <w:u w:val="single"/>
    </w:rPr>
  </w:style>
  <w:style w:type="character" w:customStyle="1" w:styleId="UnresolvedMention1">
    <w:name w:val="Unresolved Mention1"/>
    <w:basedOn w:val="DefaultParagraphFont"/>
    <w:uiPriority w:val="99"/>
    <w:semiHidden/>
    <w:unhideWhenUsed/>
    <w:rsid w:val="0033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02466">
      <w:bodyDiv w:val="1"/>
      <w:marLeft w:val="0"/>
      <w:marRight w:val="0"/>
      <w:marTop w:val="0"/>
      <w:marBottom w:val="0"/>
      <w:divBdr>
        <w:top w:val="none" w:sz="0" w:space="0" w:color="auto"/>
        <w:left w:val="none" w:sz="0" w:space="0" w:color="auto"/>
        <w:bottom w:val="none" w:sz="0" w:space="0" w:color="auto"/>
        <w:right w:val="none" w:sz="0" w:space="0" w:color="auto"/>
      </w:divBdr>
    </w:div>
    <w:div w:id="985626021">
      <w:bodyDiv w:val="1"/>
      <w:marLeft w:val="0"/>
      <w:marRight w:val="0"/>
      <w:marTop w:val="0"/>
      <w:marBottom w:val="0"/>
      <w:divBdr>
        <w:top w:val="none" w:sz="0" w:space="0" w:color="auto"/>
        <w:left w:val="none" w:sz="0" w:space="0" w:color="auto"/>
        <w:bottom w:val="none" w:sz="0" w:space="0" w:color="auto"/>
        <w:right w:val="none" w:sz="0" w:space="0" w:color="auto"/>
      </w:divBdr>
    </w:div>
    <w:div w:id="124750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dc.europa.eu/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MANAGEMENT-ONLINE@ec.europa.eu" TargetMode="External"/><Relationship Id="rId4" Type="http://schemas.openxmlformats.org/officeDocument/2006/relationships/settings" Target="settings.xml"/><Relationship Id="rId9" Type="http://schemas.openxmlformats.org/officeDocument/2006/relationships/hyperlink" Target="https://ec.europa.eu/dgs/human-resources/seniormanagementvacanci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ommission.europa.eu/jobs-european-commission/job-opportunities/managers-european-commission_en" TargetMode="External"/><Relationship Id="rId2" Type="http://schemas.openxmlformats.org/officeDocument/2006/relationships/hyperlink" Target="https://eur-lex.europa.eu/legal-content/HR/TXT/?uri=CELEX%3A01962R0031-20140701" TargetMode="External"/><Relationship Id="rId1" Type="http://schemas.openxmlformats.org/officeDocument/2006/relationships/hyperlink" Target="https://eur-lex.europa.eu/legal-content/HR/TXT/?uri=CELEX%3A01958R0001-20130701" TargetMode="External"/><Relationship Id="rId5" Type="http://schemas.openxmlformats.org/officeDocument/2006/relationships/hyperlink" Target="https://europa.eu/europass/en/create-europass-cv" TargetMode="External"/><Relationship Id="rId4" Type="http://schemas.openxmlformats.org/officeDocument/2006/relationships/hyperlink" Target="https://eur-lex.europa.eu/legal-content/HR/TXT/?uri=CELEX%3A01962R0031-2014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2E4E-7832-4E7C-BA01-7B365E60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HR.C.1</dc:creator>
  <cp:lastModifiedBy>Ivana Nardelli Debač</cp:lastModifiedBy>
  <cp:revision>2</cp:revision>
  <dcterms:created xsi:type="dcterms:W3CDTF">2023-05-29T08:07:00Z</dcterms:created>
  <dcterms:modified xsi:type="dcterms:W3CDTF">2023-05-29T08:07:00Z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PDF CoDe 5.2109.568.0 (c) 2002-2021 European Commission</vt:lpwstr>
  </property>
  <property fmtid="{D5CDD505-2E9C-101B-9397-08002B2CF9AE}" pid="4" name="LastSaved">
    <vt:filetime>2023-03-27T00:00:00Z</vt:filetime>
  </property>
  <property fmtid="{D5CDD505-2E9C-101B-9397-08002B2CF9AE}" pid="5" name="Producer">
    <vt:lpwstr>PDF CoDe 5.2109.568.0 (c) 2002-2021 European Commission</vt:lpwstr>
  </property>
  <property fmtid="{D5CDD505-2E9C-101B-9397-08002B2CF9AE}" pid="6" name="MSIP_Label_6bd9ddd1-4d20-43f6-abfa-fc3c07406f94_Enabled">
    <vt:lpwstr>true</vt:lpwstr>
  </property>
  <property fmtid="{D5CDD505-2E9C-101B-9397-08002B2CF9AE}" pid="7" name="MSIP_Label_6bd9ddd1-4d20-43f6-abfa-fc3c07406f94_SetDate">
    <vt:lpwstr>2023-03-27T08:20:12Z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f6cd4c19-f2ad-4cc7-bcdd-015d1626885e</vt:lpwstr>
  </property>
  <property fmtid="{D5CDD505-2E9C-101B-9397-08002B2CF9AE}" pid="12" name="MSIP_Label_6bd9ddd1-4d20-43f6-abfa-fc3c07406f94_ContentBits">
    <vt:lpwstr>0</vt:lpwstr>
  </property>
</Properties>
</file>